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26" w:rsidRDefault="005E4E26" w:rsidP="005E4E26">
      <w:pPr>
        <w:ind w:left="4820" w:firstLine="142"/>
        <w:rPr>
          <w:sz w:val="28"/>
          <w:szCs w:val="28"/>
        </w:rPr>
      </w:pPr>
      <w:r w:rsidRPr="000E7BF0">
        <w:rPr>
          <w:sz w:val="28"/>
          <w:szCs w:val="28"/>
        </w:rPr>
        <w:t xml:space="preserve">Приложение к Решению </w:t>
      </w:r>
    </w:p>
    <w:p w:rsidR="005E4E26" w:rsidRPr="000E7BF0" w:rsidRDefault="005E4E26" w:rsidP="005E4E26">
      <w:pPr>
        <w:ind w:left="4962"/>
        <w:rPr>
          <w:sz w:val="28"/>
          <w:szCs w:val="28"/>
        </w:rPr>
      </w:pPr>
      <w:r w:rsidRPr="000E7BF0">
        <w:rPr>
          <w:sz w:val="28"/>
          <w:szCs w:val="28"/>
        </w:rPr>
        <w:t>Петрозаводского городского Совета</w:t>
      </w:r>
    </w:p>
    <w:p w:rsidR="005E4E26" w:rsidRDefault="005E4E26" w:rsidP="005E4E26">
      <w:pPr>
        <w:ind w:left="4962"/>
        <w:rPr>
          <w:position w:val="-20"/>
          <w:sz w:val="28"/>
          <w:szCs w:val="28"/>
        </w:rPr>
      </w:pPr>
      <w:r w:rsidRPr="005650B5">
        <w:rPr>
          <w:position w:val="-20"/>
          <w:sz w:val="28"/>
          <w:szCs w:val="28"/>
        </w:rPr>
        <w:t xml:space="preserve">от </w:t>
      </w:r>
      <w:r>
        <w:rPr>
          <w:position w:val="-20"/>
          <w:sz w:val="28"/>
          <w:szCs w:val="28"/>
        </w:rPr>
        <w:t>18 сентября</w:t>
      </w:r>
      <w:r w:rsidRPr="005650B5">
        <w:rPr>
          <w:position w:val="-20"/>
          <w:sz w:val="28"/>
          <w:szCs w:val="28"/>
        </w:rPr>
        <w:t xml:space="preserve"> 201</w:t>
      </w:r>
      <w:r>
        <w:rPr>
          <w:position w:val="-20"/>
          <w:sz w:val="28"/>
          <w:szCs w:val="28"/>
        </w:rPr>
        <w:t>9</w:t>
      </w:r>
      <w:r w:rsidRPr="005650B5">
        <w:rPr>
          <w:position w:val="-20"/>
          <w:sz w:val="28"/>
          <w:szCs w:val="28"/>
        </w:rPr>
        <w:t xml:space="preserve"> г. № 28/</w:t>
      </w:r>
      <w:r>
        <w:rPr>
          <w:position w:val="-20"/>
          <w:sz w:val="28"/>
          <w:szCs w:val="28"/>
        </w:rPr>
        <w:t>26</w:t>
      </w:r>
      <w:r w:rsidRPr="005650B5">
        <w:rPr>
          <w:position w:val="-20"/>
          <w:sz w:val="28"/>
          <w:szCs w:val="28"/>
        </w:rPr>
        <w:t>-</w:t>
      </w:r>
      <w:r>
        <w:rPr>
          <w:position w:val="-20"/>
          <w:sz w:val="28"/>
          <w:szCs w:val="28"/>
        </w:rPr>
        <w:t>511</w:t>
      </w:r>
    </w:p>
    <w:p w:rsidR="005E4E26" w:rsidRDefault="005E4E26" w:rsidP="005E4E26">
      <w:pPr>
        <w:ind w:left="4962"/>
        <w:rPr>
          <w:position w:val="-20"/>
          <w:sz w:val="28"/>
          <w:szCs w:val="28"/>
        </w:rPr>
      </w:pPr>
    </w:p>
    <w:p w:rsidR="005E4E26" w:rsidRDefault="005E4E26" w:rsidP="005E4E26">
      <w:pPr>
        <w:autoSpaceDE w:val="0"/>
        <w:autoSpaceDN w:val="0"/>
        <w:adjustRightInd w:val="0"/>
        <w:jc w:val="center"/>
        <w:rPr>
          <w:b/>
          <w:bCs/>
          <w:sz w:val="24"/>
          <w:szCs w:val="24"/>
        </w:rPr>
      </w:pPr>
    </w:p>
    <w:p w:rsidR="005E4E26" w:rsidRDefault="005E4E26" w:rsidP="005E4E26">
      <w:pPr>
        <w:autoSpaceDE w:val="0"/>
        <w:autoSpaceDN w:val="0"/>
        <w:adjustRightInd w:val="0"/>
        <w:jc w:val="center"/>
        <w:rPr>
          <w:b/>
          <w:bCs/>
          <w:sz w:val="24"/>
          <w:szCs w:val="24"/>
        </w:rPr>
      </w:pPr>
      <w:r>
        <w:rPr>
          <w:b/>
          <w:bCs/>
          <w:sz w:val="24"/>
          <w:szCs w:val="24"/>
        </w:rPr>
        <w:t>ШКАЛА</w:t>
      </w:r>
    </w:p>
    <w:p w:rsidR="005E4E26" w:rsidRDefault="005E4E26" w:rsidP="005E4E26">
      <w:pPr>
        <w:autoSpaceDE w:val="0"/>
        <w:autoSpaceDN w:val="0"/>
        <w:adjustRightInd w:val="0"/>
        <w:jc w:val="center"/>
        <w:rPr>
          <w:b/>
          <w:bCs/>
          <w:sz w:val="24"/>
          <w:szCs w:val="24"/>
        </w:rPr>
      </w:pPr>
      <w:r>
        <w:rPr>
          <w:b/>
          <w:bCs/>
          <w:sz w:val="24"/>
          <w:szCs w:val="24"/>
        </w:rPr>
        <w:t>КРИТЕРИЕВ ОЦЕНКИ И СОПОСТАВЛЕНИЯ ЗАЯВОК</w:t>
      </w:r>
    </w:p>
    <w:p w:rsidR="005E4E26" w:rsidRDefault="005E4E26" w:rsidP="005E4E26">
      <w:pPr>
        <w:autoSpaceDE w:val="0"/>
        <w:autoSpaceDN w:val="0"/>
        <w:adjustRightInd w:val="0"/>
        <w:jc w:val="center"/>
        <w:rPr>
          <w:b/>
          <w:bCs/>
          <w:sz w:val="24"/>
          <w:szCs w:val="24"/>
        </w:rPr>
      </w:pPr>
      <w:r>
        <w:rPr>
          <w:b/>
          <w:bCs/>
          <w:sz w:val="24"/>
          <w:szCs w:val="24"/>
        </w:rPr>
        <w:t>НА УЧАСТИЕ В ОТКРЫТОМ КОНКУРСЕ НА ПРАВО ОСУЩЕСТВЛЕНИЯ</w:t>
      </w:r>
    </w:p>
    <w:p w:rsidR="005E4E26" w:rsidRDefault="005E4E26" w:rsidP="005E4E26">
      <w:pPr>
        <w:autoSpaceDE w:val="0"/>
        <w:autoSpaceDN w:val="0"/>
        <w:adjustRightInd w:val="0"/>
        <w:jc w:val="center"/>
        <w:rPr>
          <w:b/>
          <w:bCs/>
          <w:sz w:val="24"/>
          <w:szCs w:val="24"/>
        </w:rPr>
      </w:pPr>
      <w:r>
        <w:rPr>
          <w:b/>
          <w:bCs/>
          <w:sz w:val="24"/>
          <w:szCs w:val="24"/>
        </w:rPr>
        <w:t>ПЕРЕВОЗОК ПО МУНИЦИПАЛЬНЫМ МАРШРУТАМ РЕГУЛЯРНЫХ</w:t>
      </w:r>
    </w:p>
    <w:p w:rsidR="005E4E26" w:rsidRDefault="005E4E26" w:rsidP="005E4E26">
      <w:pPr>
        <w:autoSpaceDE w:val="0"/>
        <w:autoSpaceDN w:val="0"/>
        <w:adjustRightInd w:val="0"/>
        <w:jc w:val="center"/>
        <w:rPr>
          <w:b/>
          <w:bCs/>
          <w:sz w:val="24"/>
          <w:szCs w:val="24"/>
        </w:rPr>
      </w:pPr>
      <w:r>
        <w:rPr>
          <w:b/>
          <w:bCs/>
          <w:sz w:val="24"/>
          <w:szCs w:val="24"/>
        </w:rPr>
        <w:t>ПЕРЕВОЗОК ПО НЕРЕГУЛИРУЕМЫМ ТАРИФАМ</w:t>
      </w:r>
    </w:p>
    <w:p w:rsidR="005E4E26" w:rsidRDefault="005E4E26" w:rsidP="005E4E26">
      <w:pPr>
        <w:autoSpaceDE w:val="0"/>
        <w:autoSpaceDN w:val="0"/>
        <w:adjustRightInd w:val="0"/>
        <w:jc w:val="center"/>
        <w:rPr>
          <w:b/>
          <w:bCs/>
          <w:sz w:val="24"/>
          <w:szCs w:val="24"/>
        </w:rPr>
      </w:pPr>
      <w:r>
        <w:rPr>
          <w:b/>
          <w:bCs/>
          <w:sz w:val="24"/>
          <w:szCs w:val="24"/>
        </w:rPr>
        <w:t>В ПЕТРОЗАВОДСКОМ ГОРОДСКОМ ОКРУГЕ</w:t>
      </w:r>
    </w:p>
    <w:p w:rsidR="005E4E26" w:rsidRDefault="005E4E26" w:rsidP="005E4E2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540"/>
        <w:gridCol w:w="1417"/>
      </w:tblGrid>
      <w:tr w:rsidR="005E4E26" w:rsidTr="004A7BDE">
        <w:tc>
          <w:tcPr>
            <w:tcW w:w="680"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N</w:t>
            </w:r>
          </w:p>
        </w:tc>
        <w:tc>
          <w:tcPr>
            <w:tcW w:w="7540"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Критерии оценки и сопоставления заявок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Количество баллов</w:t>
            </w:r>
          </w:p>
        </w:tc>
      </w:tr>
      <w:tr w:rsidR="005E4E26" w:rsidTr="004A7BDE">
        <w:tc>
          <w:tcPr>
            <w:tcW w:w="680" w:type="dxa"/>
            <w:vMerge w:val="restart"/>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1</w:t>
            </w:r>
          </w:p>
        </w:tc>
        <w:tc>
          <w:tcPr>
            <w:tcW w:w="7540"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5E4E26" w:rsidRDefault="005E4E26" w:rsidP="004A7BDE">
            <w:pPr>
              <w:autoSpaceDE w:val="0"/>
              <w:autoSpaceDN w:val="0"/>
              <w:adjustRightInd w:val="0"/>
              <w:jc w:val="both"/>
              <w:rPr>
                <w:sz w:val="24"/>
                <w:szCs w:val="24"/>
              </w:rPr>
            </w:pPr>
          </w:p>
          <w:p w:rsidR="005E4E26" w:rsidRDefault="005E4E26" w:rsidP="004A7BDE">
            <w:pPr>
              <w:autoSpaceDE w:val="0"/>
              <w:autoSpaceDN w:val="0"/>
              <w:adjustRightInd w:val="0"/>
              <w:jc w:val="both"/>
              <w:rPr>
                <w:sz w:val="24"/>
                <w:szCs w:val="24"/>
              </w:rPr>
            </w:pPr>
            <w:r>
              <w:rPr>
                <w:sz w:val="24"/>
                <w:szCs w:val="24"/>
              </w:rPr>
              <w:t>Количество баллов определяется по следующей формуле:</w:t>
            </w:r>
          </w:p>
          <w:p w:rsidR="005E4E26" w:rsidRDefault="005E4E26" w:rsidP="004A7BDE">
            <w:pPr>
              <w:autoSpaceDE w:val="0"/>
              <w:autoSpaceDN w:val="0"/>
              <w:adjustRightInd w:val="0"/>
              <w:jc w:val="both"/>
              <w:rPr>
                <w:sz w:val="24"/>
                <w:szCs w:val="24"/>
              </w:rPr>
            </w:pPr>
            <w:r>
              <w:rPr>
                <w:sz w:val="24"/>
                <w:szCs w:val="24"/>
              </w:rPr>
              <w:t>Б = КДТП, где:</w:t>
            </w:r>
          </w:p>
          <w:p w:rsidR="005E4E26" w:rsidRDefault="005E4E26" w:rsidP="004A7BDE">
            <w:pPr>
              <w:autoSpaceDE w:val="0"/>
              <w:autoSpaceDN w:val="0"/>
              <w:adjustRightInd w:val="0"/>
              <w:jc w:val="both"/>
              <w:rPr>
                <w:sz w:val="24"/>
                <w:szCs w:val="24"/>
              </w:rPr>
            </w:pPr>
            <w:r>
              <w:rPr>
                <w:sz w:val="24"/>
                <w:szCs w:val="24"/>
              </w:rPr>
              <w:t>Б - балл, по данному критерию;</w:t>
            </w:r>
          </w:p>
          <w:p w:rsidR="005E4E26" w:rsidRDefault="005E4E26" w:rsidP="004A7BDE">
            <w:pPr>
              <w:autoSpaceDE w:val="0"/>
              <w:autoSpaceDN w:val="0"/>
              <w:adjustRightInd w:val="0"/>
              <w:jc w:val="both"/>
              <w:rPr>
                <w:sz w:val="24"/>
                <w:szCs w:val="24"/>
              </w:rPr>
            </w:pPr>
            <w:r>
              <w:rPr>
                <w:sz w:val="24"/>
                <w:szCs w:val="24"/>
              </w:rPr>
              <w:t>КДТП - отношение количества дорожно-транспортных происшествий, совершенных водителями участника конкурса,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подавших заявку на участие в конкурсе, или их работников в течение года, предшествующего дате размещения извещения о проведении открытого конкурса, к среднему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E4E26" w:rsidRDefault="005E4E26" w:rsidP="004A7BDE">
            <w:pPr>
              <w:autoSpaceDE w:val="0"/>
              <w:autoSpaceDN w:val="0"/>
              <w:adjustRightInd w:val="0"/>
              <w:jc w:val="both"/>
              <w:rPr>
                <w:sz w:val="24"/>
                <w:szCs w:val="24"/>
              </w:rPr>
            </w:pPr>
            <w:r>
              <w:rPr>
                <w:sz w:val="24"/>
                <w:szCs w:val="24"/>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tc>
        <w:tc>
          <w:tcPr>
            <w:tcW w:w="1417"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КДТП - 0</w:t>
            </w:r>
          </w:p>
        </w:tc>
        <w:tc>
          <w:tcPr>
            <w:tcW w:w="1417"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3</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КДТП - 0,01-0,2</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КДТП - 0,21-0,4</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0</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КДТП - 0,41 и более</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Примечание: В случае если лицо, подавшее заявку на участие в конкурсе, не осуществляло деятельности в течение года, предшествующего дате размещения извещения о проведении открытого конкурса, то ему определяется количество баллов равное нолю</w:t>
            </w:r>
          </w:p>
        </w:tc>
        <w:tc>
          <w:tcPr>
            <w:tcW w:w="1417"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val="restart"/>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2</w:t>
            </w:r>
          </w:p>
        </w:tc>
        <w:tc>
          <w:tcPr>
            <w:tcW w:w="7540"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E4E26" w:rsidRDefault="005E4E26" w:rsidP="004A7BDE">
            <w:pPr>
              <w:autoSpaceDE w:val="0"/>
              <w:autoSpaceDN w:val="0"/>
              <w:adjustRightInd w:val="0"/>
              <w:jc w:val="both"/>
              <w:rPr>
                <w:sz w:val="24"/>
                <w:szCs w:val="24"/>
              </w:rPr>
            </w:pPr>
            <w:r>
              <w:rPr>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417"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без опыта работы</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0</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до 1 года без перерыва в деятельности и более 1 года включительно с перерывами в деятельности</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свыше 1 года без перерыва в деятельности до 3 лет без перерыва в деятельности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2</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свыше 3 лет без перерыва в деятельности до 5 лет без перерыва в деятельности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3</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свыше 5 лет без перерыва в деятельности</w:t>
            </w:r>
          </w:p>
        </w:tc>
        <w:tc>
          <w:tcPr>
            <w:tcW w:w="1417"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4</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Примечание</w:t>
            </w:r>
            <w:proofErr w:type="gramStart"/>
            <w:r>
              <w:rPr>
                <w:sz w:val="24"/>
                <w:szCs w:val="24"/>
              </w:rPr>
              <w:t>: Для</w:t>
            </w:r>
            <w:proofErr w:type="gramEnd"/>
            <w:r>
              <w:rPr>
                <w:sz w:val="24"/>
                <w:szCs w:val="24"/>
              </w:rPr>
              <w:t xml:space="preserve"> целей настоящего пункта перерывом в деятельности понимается прекращение осуществления регулярных перевозок юридическим лицом, индивидуальным предпринимателем или участниками договора простого товарищества на срок свыше 6 месяцев. При этом в опыт осуществления регулярных перевозок включаются только те периоды, когда юридическим лицом, индивидуальным предпринимателем или участниками договора простого товарищества осуществлялись регулярные перевозки, что подтверждено сведениями об исполненных государственных или муниципальных контрактах либо нотариально заверенными копиями свидетельств об осуществлении </w:t>
            </w:r>
            <w:r>
              <w:rPr>
                <w:sz w:val="24"/>
                <w:szCs w:val="24"/>
              </w:rPr>
              <w:lastRenderedPageBreak/>
              <w:t>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417"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val="restart"/>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3</w:t>
            </w:r>
          </w:p>
        </w:tc>
        <w:tc>
          <w:tcPr>
            <w:tcW w:w="7540"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417"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1) наличие кондиционера в рабочем состоянии на транспортных средствах претендента;</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bookmarkStart w:id="0" w:name="Par52"/>
            <w:bookmarkEnd w:id="0"/>
            <w:r>
              <w:rPr>
                <w:sz w:val="24"/>
                <w:szCs w:val="24"/>
              </w:rPr>
              <w:t>2) экологический класс транспортных средств:</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Евро-2 и ниже (экологический класс не установлен)</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0</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Евро-3</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Евро-4</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2</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Евро-5</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3</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bookmarkStart w:id="1" w:name="Par62"/>
            <w:bookmarkEnd w:id="1"/>
            <w:r>
              <w:rPr>
                <w:sz w:val="24"/>
                <w:szCs w:val="24"/>
              </w:rPr>
              <w:t>3) общее количество мест для пассажиров в автобусах без учета места водителя:</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- 21 место и менее</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0</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22 до 38 мест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39 до 49 мест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2</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- 50 и более мест;</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3</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4) наличие на транспортных средствах претендента оборудования для перевозок пассажиров с ограниченными возможностями передвижения, пассажиров с детскими колясками.</w:t>
            </w:r>
          </w:p>
          <w:p w:rsidR="005E4E26" w:rsidRDefault="005E4E26" w:rsidP="004A7BDE">
            <w:pPr>
              <w:autoSpaceDE w:val="0"/>
              <w:autoSpaceDN w:val="0"/>
              <w:adjustRightInd w:val="0"/>
              <w:jc w:val="both"/>
              <w:rPr>
                <w:sz w:val="24"/>
                <w:szCs w:val="24"/>
              </w:rPr>
            </w:pPr>
          </w:p>
          <w:p w:rsidR="005E4E26" w:rsidRPr="00950998" w:rsidRDefault="005E4E26" w:rsidP="004A7BDE">
            <w:pPr>
              <w:autoSpaceDE w:val="0"/>
              <w:autoSpaceDN w:val="0"/>
              <w:adjustRightInd w:val="0"/>
              <w:jc w:val="both"/>
              <w:rPr>
                <w:sz w:val="24"/>
                <w:szCs w:val="24"/>
              </w:rPr>
            </w:pPr>
            <w:r>
              <w:rPr>
                <w:sz w:val="24"/>
                <w:szCs w:val="24"/>
              </w:rPr>
              <w:t xml:space="preserve">5) </w:t>
            </w:r>
            <w:r w:rsidRPr="00950998">
              <w:rPr>
                <w:sz w:val="24"/>
                <w:szCs w:val="24"/>
              </w:rPr>
              <w:t>Наличие на транспортных средствах претендента оборудования для использования газомоторного топлива</w:t>
            </w:r>
          </w:p>
          <w:p w:rsidR="005E4E26" w:rsidRDefault="005E4E26" w:rsidP="004A7BDE">
            <w:pPr>
              <w:autoSpaceDE w:val="0"/>
              <w:autoSpaceDN w:val="0"/>
              <w:adjustRightInd w:val="0"/>
              <w:jc w:val="both"/>
              <w:rPr>
                <w:sz w:val="24"/>
                <w:szCs w:val="24"/>
              </w:rPr>
            </w:pP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2</w:t>
            </w:r>
          </w:p>
          <w:p w:rsidR="005E4E26" w:rsidRDefault="005E4E26" w:rsidP="004A7BDE">
            <w:pPr>
              <w:autoSpaceDE w:val="0"/>
              <w:autoSpaceDN w:val="0"/>
              <w:adjustRightInd w:val="0"/>
              <w:rPr>
                <w:sz w:val="24"/>
                <w:szCs w:val="24"/>
              </w:rPr>
            </w:pPr>
          </w:p>
          <w:p w:rsidR="005E4E26" w:rsidRDefault="005E4E26" w:rsidP="004A7BDE">
            <w:pPr>
              <w:autoSpaceDE w:val="0"/>
              <w:autoSpaceDN w:val="0"/>
              <w:adjustRightInd w:val="0"/>
              <w:rPr>
                <w:sz w:val="24"/>
                <w:szCs w:val="24"/>
              </w:rPr>
            </w:pPr>
          </w:p>
          <w:p w:rsidR="005E4E26" w:rsidRDefault="005E4E26" w:rsidP="004A7BDE">
            <w:pPr>
              <w:autoSpaceDE w:val="0"/>
              <w:autoSpaceDN w:val="0"/>
              <w:adjustRightInd w:val="0"/>
              <w:rPr>
                <w:sz w:val="24"/>
                <w:szCs w:val="24"/>
              </w:rPr>
            </w:pPr>
          </w:p>
          <w:p w:rsidR="005E4E26" w:rsidRPr="00950998" w:rsidRDefault="005E4E26" w:rsidP="004A7BDE">
            <w:pPr>
              <w:autoSpaceDE w:val="0"/>
              <w:autoSpaceDN w:val="0"/>
              <w:adjustRightInd w:val="0"/>
              <w:rPr>
                <w:sz w:val="24"/>
                <w:szCs w:val="24"/>
              </w:rPr>
            </w:pPr>
            <w:r>
              <w:rPr>
                <w:sz w:val="24"/>
                <w:szCs w:val="24"/>
              </w:rPr>
              <w:t>2</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Примечание: по данным критериям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417"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val="restart"/>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center"/>
              <w:rPr>
                <w:sz w:val="24"/>
                <w:szCs w:val="24"/>
              </w:rPr>
            </w:pPr>
            <w:r>
              <w:rPr>
                <w:sz w:val="24"/>
                <w:szCs w:val="24"/>
              </w:rPr>
              <w:t>4</w:t>
            </w:r>
          </w:p>
        </w:tc>
        <w:tc>
          <w:tcPr>
            <w:tcW w:w="7540"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до 2-х лет включительно</w:t>
            </w:r>
          </w:p>
        </w:tc>
        <w:tc>
          <w:tcPr>
            <w:tcW w:w="1417" w:type="dxa"/>
            <w:tcBorders>
              <w:top w:val="single" w:sz="4" w:space="0" w:color="auto"/>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5</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2-х до 4-х лет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4</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4-х до 6-ти лет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3</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6-ти лет до 8 лет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2</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от 8 лет до 10 лет включительно</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1</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 старше 10 лет</w:t>
            </w:r>
          </w:p>
        </w:tc>
        <w:tc>
          <w:tcPr>
            <w:tcW w:w="1417" w:type="dxa"/>
            <w:tcBorders>
              <w:left w:val="single" w:sz="4" w:space="0" w:color="auto"/>
              <w:right w:val="single" w:sz="4" w:space="0" w:color="auto"/>
            </w:tcBorders>
          </w:tcPr>
          <w:p w:rsidR="005E4E26" w:rsidRDefault="005E4E26" w:rsidP="004A7BDE">
            <w:pPr>
              <w:autoSpaceDE w:val="0"/>
              <w:autoSpaceDN w:val="0"/>
              <w:adjustRightInd w:val="0"/>
              <w:rPr>
                <w:sz w:val="24"/>
                <w:szCs w:val="24"/>
              </w:rPr>
            </w:pPr>
            <w:r>
              <w:rPr>
                <w:sz w:val="24"/>
                <w:szCs w:val="24"/>
              </w:rPr>
              <w:t>0</w:t>
            </w:r>
          </w:p>
        </w:tc>
      </w:tr>
      <w:tr w:rsidR="005E4E26" w:rsidTr="004A7BDE">
        <w:tc>
          <w:tcPr>
            <w:tcW w:w="680" w:type="dxa"/>
            <w:vMerge/>
            <w:tcBorders>
              <w:top w:val="single" w:sz="4" w:space="0" w:color="auto"/>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p>
        </w:tc>
        <w:tc>
          <w:tcPr>
            <w:tcW w:w="7540"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jc w:val="both"/>
              <w:rPr>
                <w:sz w:val="24"/>
                <w:szCs w:val="24"/>
              </w:rPr>
            </w:pPr>
            <w:r>
              <w:rPr>
                <w:sz w:val="24"/>
                <w:szCs w:val="24"/>
              </w:rPr>
              <w:t>Примечание: По данному критерию производитс</w:t>
            </w:r>
            <w:bookmarkStart w:id="2" w:name="_GoBack"/>
            <w:bookmarkEnd w:id="2"/>
            <w:r>
              <w:rPr>
                <w:sz w:val="24"/>
                <w:szCs w:val="24"/>
              </w:rPr>
              <w:t>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417" w:type="dxa"/>
            <w:tcBorders>
              <w:left w:val="single" w:sz="4" w:space="0" w:color="auto"/>
              <w:bottom w:val="single" w:sz="4" w:space="0" w:color="auto"/>
              <w:right w:val="single" w:sz="4" w:space="0" w:color="auto"/>
            </w:tcBorders>
          </w:tcPr>
          <w:p w:rsidR="005E4E26" w:rsidRDefault="005E4E26" w:rsidP="004A7BDE">
            <w:pPr>
              <w:autoSpaceDE w:val="0"/>
              <w:autoSpaceDN w:val="0"/>
              <w:adjustRightInd w:val="0"/>
              <w:rPr>
                <w:sz w:val="24"/>
                <w:szCs w:val="24"/>
              </w:rPr>
            </w:pPr>
          </w:p>
        </w:tc>
      </w:tr>
    </w:tbl>
    <w:p w:rsidR="005E4E26" w:rsidRDefault="005E4E26" w:rsidP="005E4E26">
      <w:pPr>
        <w:autoSpaceDE w:val="0"/>
        <w:autoSpaceDN w:val="0"/>
        <w:adjustRightInd w:val="0"/>
        <w:jc w:val="both"/>
        <w:rPr>
          <w:sz w:val="24"/>
          <w:szCs w:val="24"/>
        </w:rPr>
      </w:pPr>
    </w:p>
    <w:p w:rsidR="005E4E26" w:rsidRDefault="005E4E26" w:rsidP="005E4E26">
      <w:pPr>
        <w:autoSpaceDE w:val="0"/>
        <w:autoSpaceDN w:val="0"/>
        <w:adjustRightInd w:val="0"/>
        <w:ind w:firstLine="709"/>
        <w:jc w:val="both"/>
        <w:rPr>
          <w:sz w:val="24"/>
          <w:szCs w:val="24"/>
        </w:rPr>
      </w:pPr>
      <w:r>
        <w:rPr>
          <w:sz w:val="24"/>
          <w:szCs w:val="24"/>
        </w:rPr>
        <w:t>Примечание</w:t>
      </w:r>
      <w:proofErr w:type="gramStart"/>
      <w:r>
        <w:rPr>
          <w:sz w:val="24"/>
          <w:szCs w:val="24"/>
        </w:rPr>
        <w:t>: Для</w:t>
      </w:r>
      <w:proofErr w:type="gramEnd"/>
      <w:r>
        <w:rPr>
          <w:sz w:val="24"/>
          <w:szCs w:val="24"/>
        </w:rPr>
        <w:t xml:space="preserve"> участников договора простого товарищества значение балла определяется как среднее арифметическое баллов всех участников договора простого товарищества.</w:t>
      </w:r>
    </w:p>
    <w:p w:rsidR="005E4E26" w:rsidRPr="00E74ACE" w:rsidRDefault="005E4E26" w:rsidP="005E4E26">
      <w:pPr>
        <w:ind w:firstLine="709"/>
        <w:jc w:val="both"/>
        <w:rPr>
          <w:rFonts w:eastAsia="Calibri"/>
          <w:sz w:val="28"/>
          <w:szCs w:val="28"/>
        </w:rPr>
      </w:pPr>
    </w:p>
    <w:p w:rsidR="005E4E26" w:rsidRPr="00E74ACE" w:rsidRDefault="005E4E26" w:rsidP="005E4E26">
      <w:pPr>
        <w:rPr>
          <w:rFonts w:eastAsia="Calibri"/>
          <w:sz w:val="28"/>
          <w:szCs w:val="28"/>
        </w:rPr>
      </w:pPr>
    </w:p>
    <w:p w:rsidR="005E4E26" w:rsidRDefault="005E4E26" w:rsidP="005E4E26">
      <w:pPr>
        <w:ind w:left="4962"/>
      </w:pPr>
    </w:p>
    <w:p w:rsidR="005E4E26" w:rsidRDefault="005E4E26"/>
    <w:sectPr w:rsidR="005E4E26" w:rsidSect="005E4E26">
      <w:headerReference w:type="default" r:id="rId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F0" w:rsidRDefault="00E17FF0" w:rsidP="005E4E26">
      <w:r>
        <w:separator/>
      </w:r>
    </w:p>
  </w:endnote>
  <w:endnote w:type="continuationSeparator" w:id="0">
    <w:p w:rsidR="00E17FF0" w:rsidRDefault="00E17FF0" w:rsidP="005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F0" w:rsidRDefault="00E17FF0" w:rsidP="005E4E26">
      <w:r>
        <w:separator/>
      </w:r>
    </w:p>
  </w:footnote>
  <w:footnote w:type="continuationSeparator" w:id="0">
    <w:p w:rsidR="00E17FF0" w:rsidRDefault="00E17FF0" w:rsidP="005E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833808"/>
      <w:docPartObj>
        <w:docPartGallery w:val="Page Numbers (Top of Page)"/>
        <w:docPartUnique/>
      </w:docPartObj>
    </w:sdtPr>
    <w:sdtEndPr>
      <w:rPr>
        <w:sz w:val="24"/>
        <w:szCs w:val="24"/>
      </w:rPr>
    </w:sdtEndPr>
    <w:sdtContent>
      <w:p w:rsidR="005E4E26" w:rsidRPr="005E4E26" w:rsidRDefault="005E4E26">
        <w:pPr>
          <w:pStyle w:val="a3"/>
          <w:jc w:val="center"/>
          <w:rPr>
            <w:sz w:val="24"/>
            <w:szCs w:val="24"/>
          </w:rPr>
        </w:pPr>
        <w:r w:rsidRPr="005E4E26">
          <w:rPr>
            <w:sz w:val="24"/>
            <w:szCs w:val="24"/>
          </w:rPr>
          <w:fldChar w:fldCharType="begin"/>
        </w:r>
        <w:r w:rsidRPr="005E4E26">
          <w:rPr>
            <w:sz w:val="24"/>
            <w:szCs w:val="24"/>
          </w:rPr>
          <w:instrText>PAGE   \* MERGEFORMAT</w:instrText>
        </w:r>
        <w:r w:rsidRPr="005E4E26">
          <w:rPr>
            <w:sz w:val="24"/>
            <w:szCs w:val="24"/>
          </w:rPr>
          <w:fldChar w:fldCharType="separate"/>
        </w:r>
        <w:r w:rsidRPr="005E4E26">
          <w:rPr>
            <w:sz w:val="24"/>
            <w:szCs w:val="24"/>
          </w:rPr>
          <w:t>2</w:t>
        </w:r>
        <w:r w:rsidRPr="005E4E26">
          <w:rPr>
            <w:sz w:val="24"/>
            <w:szCs w:val="24"/>
          </w:rPr>
          <w:fldChar w:fldCharType="end"/>
        </w:r>
      </w:p>
    </w:sdtContent>
  </w:sdt>
  <w:p w:rsidR="00DB42D8" w:rsidRDefault="00E17F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26"/>
    <w:rsid w:val="005E4E26"/>
    <w:rsid w:val="00E1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5393-28A0-45E0-97D5-037CEA45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4E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E26"/>
    <w:pPr>
      <w:tabs>
        <w:tab w:val="center" w:pos="4677"/>
        <w:tab w:val="right" w:pos="9355"/>
      </w:tabs>
    </w:pPr>
  </w:style>
  <w:style w:type="character" w:customStyle="1" w:styleId="a4">
    <w:name w:val="Верхний колонтитул Знак"/>
    <w:basedOn w:val="a0"/>
    <w:link w:val="a3"/>
    <w:uiPriority w:val="99"/>
    <w:rsid w:val="005E4E2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E4E26"/>
    <w:pPr>
      <w:tabs>
        <w:tab w:val="center" w:pos="4677"/>
        <w:tab w:val="right" w:pos="9355"/>
      </w:tabs>
    </w:pPr>
  </w:style>
  <w:style w:type="character" w:customStyle="1" w:styleId="a6">
    <w:name w:val="Нижний колонтитул Знак"/>
    <w:basedOn w:val="a0"/>
    <w:link w:val="a5"/>
    <w:uiPriority w:val="99"/>
    <w:rsid w:val="005E4E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Федоричева</dc:creator>
  <cp:keywords/>
  <dc:description/>
  <cp:lastModifiedBy>Ольга Федоричева</cp:lastModifiedBy>
  <cp:revision>1</cp:revision>
  <dcterms:created xsi:type="dcterms:W3CDTF">2019-09-12T09:49:00Z</dcterms:created>
  <dcterms:modified xsi:type="dcterms:W3CDTF">2019-09-12T09:51:00Z</dcterms:modified>
</cp:coreProperties>
</file>