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EAF" w14:textId="77777777" w:rsidR="00F02EC0" w:rsidRPr="0002566C" w:rsidRDefault="00F02EC0" w:rsidP="00F02EC0">
      <w:pPr>
        <w:ind w:firstLine="4962"/>
        <w:rPr>
          <w:sz w:val="28"/>
          <w:szCs w:val="28"/>
        </w:rPr>
      </w:pPr>
      <w:r w:rsidRPr="0002566C">
        <w:rPr>
          <w:sz w:val="28"/>
          <w:szCs w:val="28"/>
        </w:rPr>
        <w:t xml:space="preserve">Приложение </w:t>
      </w:r>
    </w:p>
    <w:p w14:paraId="2E2E4A65" w14:textId="77777777" w:rsidR="00F02EC0" w:rsidRPr="0002566C" w:rsidRDefault="00F02EC0" w:rsidP="00F02EC0">
      <w:pPr>
        <w:ind w:left="4820"/>
        <w:rPr>
          <w:sz w:val="28"/>
          <w:szCs w:val="28"/>
        </w:rPr>
      </w:pPr>
    </w:p>
    <w:p w14:paraId="40E8CEB9" w14:textId="1B9BF339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УТВЕРЖДЕН</w:t>
      </w:r>
    </w:p>
    <w:p w14:paraId="3E4F545E" w14:textId="77777777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Решением</w:t>
      </w:r>
    </w:p>
    <w:p w14:paraId="3BFB1F20" w14:textId="21A4C3C0" w:rsidR="001E22A5" w:rsidRDefault="001E22A5" w:rsidP="00F02EC0">
      <w:pPr>
        <w:ind w:left="4962"/>
        <w:rPr>
          <w:sz w:val="28"/>
          <w:szCs w:val="28"/>
        </w:rPr>
      </w:pPr>
      <w:r w:rsidRPr="003A1F60">
        <w:rPr>
          <w:sz w:val="28"/>
          <w:szCs w:val="28"/>
        </w:rPr>
        <w:t>Петрозаводского городского Совета</w:t>
      </w:r>
    </w:p>
    <w:p w14:paraId="2BE5DDC0" w14:textId="029906B2" w:rsidR="001E22A5" w:rsidRDefault="001E22A5" w:rsidP="00F02EC0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 w:rsidRPr="003A1F60">
        <w:rPr>
          <w:position w:val="-20"/>
          <w:sz w:val="28"/>
          <w:szCs w:val="28"/>
        </w:rPr>
        <w:t xml:space="preserve">от </w:t>
      </w:r>
      <w:r w:rsidR="00631ED1">
        <w:rPr>
          <w:position w:val="-20"/>
          <w:sz w:val="28"/>
          <w:szCs w:val="28"/>
        </w:rPr>
        <w:t>19 сентября</w:t>
      </w:r>
      <w:r w:rsidR="00832D37">
        <w:rPr>
          <w:position w:val="-20"/>
          <w:sz w:val="28"/>
          <w:szCs w:val="28"/>
        </w:rPr>
        <w:t xml:space="preserve"> 202</w:t>
      </w:r>
      <w:r w:rsidR="00B65F25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 xml:space="preserve"> г. </w:t>
      </w:r>
      <w:r w:rsidR="00973DE8" w:rsidRPr="005650B5">
        <w:rPr>
          <w:position w:val="-20"/>
          <w:sz w:val="28"/>
          <w:szCs w:val="28"/>
        </w:rPr>
        <w:t>№ 2</w:t>
      </w:r>
      <w:r w:rsidR="00973DE8">
        <w:rPr>
          <w:position w:val="-20"/>
          <w:sz w:val="28"/>
          <w:szCs w:val="28"/>
        </w:rPr>
        <w:t>9</w:t>
      </w:r>
      <w:r w:rsidR="00973DE8" w:rsidRPr="005650B5">
        <w:rPr>
          <w:position w:val="-20"/>
          <w:sz w:val="28"/>
          <w:szCs w:val="28"/>
        </w:rPr>
        <w:t>/</w:t>
      </w:r>
      <w:r w:rsidR="00973DE8">
        <w:rPr>
          <w:position w:val="-20"/>
          <w:sz w:val="28"/>
          <w:szCs w:val="28"/>
        </w:rPr>
        <w:t>35</w:t>
      </w:r>
      <w:r w:rsidR="00973DE8" w:rsidRPr="005650B5">
        <w:rPr>
          <w:position w:val="-20"/>
          <w:sz w:val="28"/>
          <w:szCs w:val="28"/>
        </w:rPr>
        <w:t>-</w:t>
      </w:r>
      <w:r w:rsidR="00973DE8">
        <w:rPr>
          <w:position w:val="-20"/>
          <w:sz w:val="28"/>
          <w:szCs w:val="28"/>
        </w:rPr>
        <w:t>57</w:t>
      </w:r>
      <w:r w:rsidR="00D119B6">
        <w:rPr>
          <w:position w:val="-20"/>
          <w:sz w:val="28"/>
          <w:szCs w:val="28"/>
        </w:rPr>
        <w:t>2</w:t>
      </w:r>
    </w:p>
    <w:p w14:paraId="0EA69B06" w14:textId="373569FC" w:rsidR="002F463D" w:rsidRDefault="002F463D" w:rsidP="00F02EC0">
      <w:pPr>
        <w:jc w:val="center"/>
        <w:outlineLvl w:val="0"/>
        <w:rPr>
          <w:b/>
          <w:bCs/>
          <w:sz w:val="28"/>
          <w:szCs w:val="28"/>
        </w:rPr>
      </w:pPr>
    </w:p>
    <w:p w14:paraId="3F143CE5" w14:textId="77777777" w:rsidR="00973DE8" w:rsidRDefault="00973DE8" w:rsidP="00F02EC0">
      <w:pPr>
        <w:jc w:val="center"/>
        <w:outlineLvl w:val="0"/>
        <w:rPr>
          <w:b/>
          <w:bCs/>
          <w:sz w:val="28"/>
          <w:szCs w:val="28"/>
        </w:rPr>
      </w:pPr>
    </w:p>
    <w:p w14:paraId="48CEA46D" w14:textId="77777777" w:rsidR="00973DE8" w:rsidRDefault="00973DE8" w:rsidP="00973DE8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C42DF1">
        <w:rPr>
          <w:rFonts w:eastAsia="Calibri"/>
          <w:b/>
          <w:bCs/>
          <w:sz w:val="28"/>
          <w:szCs w:val="28"/>
        </w:rPr>
        <w:t>Порядок материально-технического и организационного обеспечения деятельности органов местного самоуправления Петрозаводского городского округа</w:t>
      </w:r>
    </w:p>
    <w:p w14:paraId="3A86D7D1" w14:textId="77777777" w:rsidR="00973DE8" w:rsidRDefault="00973DE8" w:rsidP="00973DE8">
      <w:pPr>
        <w:autoSpaceDE w:val="0"/>
        <w:autoSpaceDN w:val="0"/>
        <w:adjustRightInd w:val="0"/>
        <w:ind w:right="141"/>
        <w:rPr>
          <w:rFonts w:eastAsia="Calibri"/>
          <w:b/>
          <w:bCs/>
          <w:sz w:val="28"/>
          <w:szCs w:val="28"/>
        </w:rPr>
      </w:pPr>
    </w:p>
    <w:p w14:paraId="704578C7" w14:textId="77777777" w:rsidR="00973DE8" w:rsidRPr="00C42DF1" w:rsidRDefault="00973DE8" w:rsidP="00973DE8">
      <w:pPr>
        <w:autoSpaceDE w:val="0"/>
        <w:autoSpaceDN w:val="0"/>
        <w:adjustRightInd w:val="0"/>
        <w:ind w:right="141"/>
        <w:rPr>
          <w:rFonts w:eastAsia="Calibri"/>
          <w:b/>
          <w:bCs/>
          <w:sz w:val="28"/>
          <w:szCs w:val="28"/>
        </w:rPr>
      </w:pPr>
    </w:p>
    <w:p w14:paraId="62124E2E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1. Порядок материально-технического и организационного обеспечения деятельности органов местного самоуправления Петрозаводского городского округа (далее - Порядок) разработан в соответствии с пунктом 7 части 1 статьи 16 Федерального закона от 20.03.2025 № 33-ФЗ «Об общих принципах организации местного самоуправления в единой системе публичной власти», статьей 19 Устава Петрозаводского городского округа и определяет материально-техническое и организационное обеспечение деятельности органов местного самоуправления Петрозаводского городского округа.</w:t>
      </w:r>
    </w:p>
    <w:p w14:paraId="734E3212" w14:textId="4BCF898A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2. Материально-техническое и организационное обеспечение деятельности органов местного самоуправления Петрозаводского городского округа (далее - орган</w:t>
      </w:r>
      <w:r>
        <w:rPr>
          <w:sz w:val="28"/>
          <w:szCs w:val="28"/>
        </w:rPr>
        <w:t>ы</w:t>
      </w:r>
      <w:r w:rsidRPr="00B5520B">
        <w:rPr>
          <w:sz w:val="28"/>
          <w:szCs w:val="28"/>
        </w:rPr>
        <w:t xml:space="preserve"> местного самоуправления) предназначено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 xml:space="preserve">для осуществления функционирования органов местного самоуправления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в целях выполнения ими полномочий по решению вопросов местного значения городского округа, определенных федеральными законами, законами Республики Карелия, Уставом Петрозаводского городского округа.</w:t>
      </w:r>
    </w:p>
    <w:p w14:paraId="19E3C3F1" w14:textId="73DC3ECF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3. Материально-техническое обеспечение - осуществляемый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на постоянной основе комплекс мероприятий, включающий:</w:t>
      </w:r>
    </w:p>
    <w:p w14:paraId="51E0C180" w14:textId="63627692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- безвозмездное пользование имуществом, предназначенным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для обеспечения деятельности органов местного самоуправления;</w:t>
      </w:r>
    </w:p>
    <w:p w14:paraId="366C3A3F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приобретение и содержание транспортных средств органов местного самоуправления;</w:t>
      </w:r>
    </w:p>
    <w:p w14:paraId="71034831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содержание административных зданий и иных имущественных объектов органов местного самоуправления, служебных и иных рабочих помещений в состоянии, соответствующем противопожарным, санитарным, экологическим и иным требованиям, установленным законодательством Российской Федерации;</w:t>
      </w:r>
    </w:p>
    <w:p w14:paraId="25F580AE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хозяйственное обслуживание административных зданий органов местного самоуправления, в том числе охрана помещений;</w:t>
      </w:r>
    </w:p>
    <w:p w14:paraId="565656DF" w14:textId="536BA41E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- транспортные расходы, в том числе возмещение фактически понесенных расходов, в целях исполнения должностных обязанностей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за пределами Петрозаводского городского округа;</w:t>
      </w:r>
    </w:p>
    <w:p w14:paraId="494F83AD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lastRenderedPageBreak/>
        <w:t>- расходы на обучение (в том числе участие в семинарах), повышение квалификации муниципальных служащих, Главы Петрозаводского городского округа, депутатов Петрозаводского городского Совета;</w:t>
      </w:r>
    </w:p>
    <w:p w14:paraId="0A7B5573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обеспечение компьютерной техникой и иной оргтехникой, комплектующими и расходными материалами и ее обслуживание;</w:t>
      </w:r>
    </w:p>
    <w:p w14:paraId="3889C8D6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иные мероприятия, направленные на материально-техническое обеспечение органов местного самоуправления, необходимое для обеспечения деятельности органов местного самоуправления и решения ими вопросов местного значения.</w:t>
      </w:r>
    </w:p>
    <w:p w14:paraId="18EA8C17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4. Организационное обеспечение деятельности органов местного самоуправления - осуществляемый на постоянной основе комплекс мероприятий, включающий:</w:t>
      </w:r>
    </w:p>
    <w:p w14:paraId="790D19BB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кадровое обеспечение;</w:t>
      </w:r>
    </w:p>
    <w:p w14:paraId="06A110CD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организацию и ведение бухгалтерского учета;</w:t>
      </w:r>
    </w:p>
    <w:p w14:paraId="6C0E314E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программно-информационное, информационное обеспечение, в том числе освещение деятельности органов местного самоуправления, депутатов Петрозаводского городского Совета в средствах массовой информации;</w:t>
      </w:r>
    </w:p>
    <w:p w14:paraId="77867D4F" w14:textId="6383EE02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- организацию делопроизводства, в том числе машинописные и множительно-копировальные работы, обеспечение режима секретности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в делопроизводстве в соответствии с инструкциями о делопроизводстве и соответствующими инструкциями;</w:t>
      </w:r>
    </w:p>
    <w:p w14:paraId="7D824930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правовое обеспечение;</w:t>
      </w:r>
    </w:p>
    <w:p w14:paraId="0A3EC2A2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обеспечение деятельности коллегиальных и совещательных органов (комиссий) и осуществление личного приема граждан должностными лицами органов местного самоуправления;</w:t>
      </w:r>
    </w:p>
    <w:p w14:paraId="24BD6EA2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методическое обеспечение;</w:t>
      </w:r>
    </w:p>
    <w:p w14:paraId="124A1605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архивное обеспечение;</w:t>
      </w:r>
    </w:p>
    <w:p w14:paraId="3F3B7723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- иные мероприятия, направленные на организационное обеспечение деятельности органов местного самоуправления.</w:t>
      </w:r>
    </w:p>
    <w:p w14:paraId="675651D4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5. Мероприятия по материально-техническому и организационному обеспечению органов местного самоуправления, указанные в настоящем Положении, осуществляются в соответствии с федеральным законодательством, законодательством Республики Карелия и муниципальными правовыми актами органов местного самоуправления.</w:t>
      </w:r>
    </w:p>
    <w:p w14:paraId="758E233B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6. Организация материально-технического и организационного обеспечения деятельности органов местного самоуправления осуществляется структурными подразделениями и (или) лицами органов местного самоуправления, уполномоченными руководителями соответствующих органов местного самоуправления.</w:t>
      </w:r>
    </w:p>
    <w:p w14:paraId="68EA79E1" w14:textId="574EBE22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7. Уполномоченное на организацию материально-технического и организационного обеспечения деятельности органа местного самоуправления структурное подразделение или лицо определяет потребность органа местного самоуправления и составляет проект сметы содержания органа местного самоуправления на следующий финансовый год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lastRenderedPageBreak/>
        <w:t>(с расшифровкой суммы), который утверждается руководителем соответствующего органа местного самоуправления.</w:t>
      </w:r>
    </w:p>
    <w:p w14:paraId="065298DD" w14:textId="0C8CD6BE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8. Расходы на материально-техническое и организационное обеспечение деятельности органов местного самоуправления предусматриваются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 xml:space="preserve">в бюджете Петрозаводского городского округа отдельной строкой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в соответствии с классификацией расходов бюджетов Российской Федерации.</w:t>
      </w:r>
    </w:p>
    <w:p w14:paraId="29BF0DE2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9. Финансирование расходов на материально-техническое и организационное обеспечение деятельности органов местного самоуправления осуществляется исключительно за счет собственных доходов бюджета Петрозаводского городского округа.</w:t>
      </w:r>
    </w:p>
    <w:p w14:paraId="21846867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10. Финансирование расходов на материально-техническое и организационное обеспечение деятельности органов местного самоуправления осуществляется в рамках текущих расходов бюджета Петрозаводского городского округа.</w:t>
      </w:r>
    </w:p>
    <w:p w14:paraId="6FA5EDF7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11. Исполнение бюджета Петрозаводского городского округа в части финансирования расходов на материально-техническое и организационное обеспечение деятельности органов местного самоуправления осуществляется в пределах доведенных лимитов бюджетных обязательств.</w:t>
      </w:r>
    </w:p>
    <w:p w14:paraId="4BA6FF8F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>12. Материально-техническое и организационное обеспечение деятельности органов местного самоуправления по исполнению отдельных государственных полномочий, переданных федеральными законами и законами Республики Карелия, осуществляется в порядке, установленном законодательством Российской Федерации, законодательством Республики Карелия.</w:t>
      </w:r>
    </w:p>
    <w:p w14:paraId="60A70144" w14:textId="1216ED4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13. Распоряжение средствами бюджета по бюджетной смете, предусмотренными в бюджете Петрозаводского городского округа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 xml:space="preserve">на материально-техническое и организационное обеспечение деятельности Главы Петрозаводского городского округа и </w:t>
      </w:r>
      <w:r>
        <w:rPr>
          <w:sz w:val="28"/>
          <w:szCs w:val="28"/>
        </w:rPr>
        <w:t>А</w:t>
      </w:r>
      <w:r w:rsidRPr="00B5520B">
        <w:rPr>
          <w:sz w:val="28"/>
          <w:szCs w:val="28"/>
        </w:rPr>
        <w:t>дминистрации Петрозаводского городского округа, осуществляет Глава Петрозаводского городского округа.</w:t>
      </w:r>
    </w:p>
    <w:p w14:paraId="01E87243" w14:textId="14997462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14. Распоряжение средствами бюджета по бюджетной смете, предусмотренными в бюджете Петрозаводского городского округа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>на материально-техническое и организационное обеспечение деятельности Петрозаводского городского Совета, осуществляет Председатель Петрозаводского городского Совета.</w:t>
      </w:r>
    </w:p>
    <w:p w14:paraId="4D741EAD" w14:textId="5E1295A6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15. Распоряжение средствами бюджета по бюджетной смете, предусмотренными в бюджете Петрозаводского городского округа </w:t>
      </w:r>
      <w:r>
        <w:rPr>
          <w:sz w:val="28"/>
          <w:szCs w:val="28"/>
        </w:rPr>
        <w:br/>
      </w:r>
      <w:r w:rsidRPr="00B5520B">
        <w:rPr>
          <w:sz w:val="28"/>
          <w:szCs w:val="28"/>
        </w:rPr>
        <w:t xml:space="preserve">на материально-техническое и организационное обеспечение деятельности </w:t>
      </w:r>
      <w:r>
        <w:rPr>
          <w:sz w:val="28"/>
          <w:szCs w:val="28"/>
        </w:rPr>
        <w:t>К</w:t>
      </w:r>
      <w:r w:rsidRPr="00B5520B">
        <w:rPr>
          <w:sz w:val="28"/>
          <w:szCs w:val="28"/>
        </w:rPr>
        <w:t xml:space="preserve">онтрольно-счетной палаты Петрозаводского городского округа, осуществляет председатель </w:t>
      </w:r>
      <w:r>
        <w:rPr>
          <w:sz w:val="28"/>
          <w:szCs w:val="28"/>
        </w:rPr>
        <w:t>К</w:t>
      </w:r>
      <w:r w:rsidRPr="00B5520B">
        <w:rPr>
          <w:sz w:val="28"/>
          <w:szCs w:val="28"/>
        </w:rPr>
        <w:t>онтрольно-счетной палаты Петрозаводского городского округа.</w:t>
      </w:r>
    </w:p>
    <w:p w14:paraId="7AC99E60" w14:textId="77777777" w:rsidR="00973DE8" w:rsidRPr="00B5520B" w:rsidRDefault="00973DE8" w:rsidP="00973DE8">
      <w:pPr>
        <w:ind w:firstLine="709"/>
        <w:jc w:val="both"/>
        <w:rPr>
          <w:sz w:val="28"/>
          <w:szCs w:val="28"/>
        </w:rPr>
      </w:pPr>
      <w:r w:rsidRPr="00B5520B">
        <w:rPr>
          <w:sz w:val="28"/>
          <w:szCs w:val="28"/>
        </w:rPr>
        <w:t xml:space="preserve">16. Муниципальный финансовый контроль за расходованием средств бюджета Петрозаводского городского округа на материально-техническое и организационное обеспечение деятельности органов местного самоуправления осуществляют Петрозаводский городской Совет, </w:t>
      </w:r>
      <w:r>
        <w:rPr>
          <w:sz w:val="28"/>
          <w:szCs w:val="28"/>
        </w:rPr>
        <w:lastRenderedPageBreak/>
        <w:t>А</w:t>
      </w:r>
      <w:r w:rsidRPr="00B5520B">
        <w:rPr>
          <w:sz w:val="28"/>
          <w:szCs w:val="28"/>
        </w:rPr>
        <w:t xml:space="preserve">дминистрация Петрозаводского городского округа, </w:t>
      </w:r>
      <w:r>
        <w:rPr>
          <w:sz w:val="28"/>
          <w:szCs w:val="28"/>
        </w:rPr>
        <w:t>К</w:t>
      </w:r>
      <w:r w:rsidRPr="00B5520B">
        <w:rPr>
          <w:sz w:val="28"/>
          <w:szCs w:val="28"/>
        </w:rPr>
        <w:t>онтрольно-счетная палата Петрозаводского городского округа в соответствии с федеральным законодательством, Уставом Петрозаводского городского округа, иными муниципальными правовыми актами.</w:t>
      </w:r>
    </w:p>
    <w:p w14:paraId="23CDBD51" w14:textId="77777777" w:rsidR="00973DE8" w:rsidRDefault="00973DE8" w:rsidP="00973DE8">
      <w:pPr>
        <w:ind w:firstLine="567"/>
        <w:jc w:val="both"/>
        <w:rPr>
          <w:sz w:val="28"/>
          <w:szCs w:val="28"/>
        </w:rPr>
      </w:pPr>
    </w:p>
    <w:p w14:paraId="7D071FDA" w14:textId="560BB5C6" w:rsidR="00F02EC0" w:rsidRDefault="00F02EC0" w:rsidP="00973DE8">
      <w:pPr>
        <w:jc w:val="center"/>
        <w:rPr>
          <w:b/>
          <w:bCs/>
          <w:sz w:val="28"/>
          <w:szCs w:val="28"/>
        </w:rPr>
      </w:pPr>
    </w:p>
    <w:sectPr w:rsidR="00F02EC0" w:rsidSect="00973DE8">
      <w:headerReference w:type="default" r:id="rId8"/>
      <w:headerReference w:type="firs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A0EC" w14:textId="77777777" w:rsidR="00AD3DB3" w:rsidRDefault="00AD3DB3" w:rsidP="001E22A5">
      <w:r>
        <w:separator/>
      </w:r>
    </w:p>
  </w:endnote>
  <w:endnote w:type="continuationSeparator" w:id="0">
    <w:p w14:paraId="4B7ECE24" w14:textId="77777777" w:rsidR="00AD3DB3" w:rsidRDefault="00AD3DB3" w:rsidP="001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100C" w14:textId="77777777" w:rsidR="00AD3DB3" w:rsidRDefault="00AD3DB3" w:rsidP="001E22A5">
      <w:r>
        <w:separator/>
      </w:r>
    </w:p>
  </w:footnote>
  <w:footnote w:type="continuationSeparator" w:id="0">
    <w:p w14:paraId="725F13E2" w14:textId="77777777" w:rsidR="00AD3DB3" w:rsidRDefault="00AD3DB3" w:rsidP="001E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1076"/>
      <w:docPartObj>
        <w:docPartGallery w:val="Page Numbers (Top of Page)"/>
        <w:docPartUnique/>
      </w:docPartObj>
    </w:sdtPr>
    <w:sdtContent>
      <w:p w14:paraId="0312044A" w14:textId="6D554BDD" w:rsidR="00F02EC0" w:rsidRDefault="00F02EC0">
        <w:pPr>
          <w:pStyle w:val="a3"/>
          <w:jc w:val="center"/>
        </w:pPr>
        <w:r w:rsidRPr="00F02EC0">
          <w:rPr>
            <w:sz w:val="24"/>
            <w:szCs w:val="24"/>
          </w:rPr>
          <w:fldChar w:fldCharType="begin"/>
        </w:r>
        <w:r w:rsidRPr="00F02EC0">
          <w:rPr>
            <w:sz w:val="24"/>
            <w:szCs w:val="24"/>
          </w:rPr>
          <w:instrText>PAGE   \* MERGEFORMAT</w:instrText>
        </w:r>
        <w:r w:rsidRPr="00F02EC0">
          <w:rPr>
            <w:sz w:val="24"/>
            <w:szCs w:val="24"/>
          </w:rPr>
          <w:fldChar w:fldCharType="separate"/>
        </w:r>
        <w:r w:rsidRPr="00F02EC0">
          <w:rPr>
            <w:sz w:val="24"/>
            <w:szCs w:val="24"/>
          </w:rPr>
          <w:t>2</w:t>
        </w:r>
        <w:r w:rsidRPr="00F02EC0">
          <w:rPr>
            <w:sz w:val="24"/>
            <w:szCs w:val="24"/>
          </w:rPr>
          <w:fldChar w:fldCharType="end"/>
        </w:r>
      </w:p>
    </w:sdtContent>
  </w:sdt>
  <w:p w14:paraId="1C4F2578" w14:textId="77777777" w:rsidR="00F02EC0" w:rsidRDefault="00F02E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24F" w14:textId="5616E01F" w:rsidR="00F02EC0" w:rsidRDefault="00F02EC0">
    <w:pPr>
      <w:pStyle w:val="a3"/>
      <w:jc w:val="center"/>
    </w:pPr>
  </w:p>
  <w:p w14:paraId="6D1EE31E" w14:textId="77777777" w:rsidR="00F02EC0" w:rsidRDefault="00F02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BC19FE"/>
    <w:multiLevelType w:val="hybridMultilevel"/>
    <w:tmpl w:val="94502414"/>
    <w:lvl w:ilvl="0" w:tplc="F1E0D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88649D"/>
    <w:multiLevelType w:val="multilevel"/>
    <w:tmpl w:val="5AE6B53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35350EA"/>
    <w:multiLevelType w:val="multilevel"/>
    <w:tmpl w:val="D346DE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352849407">
    <w:abstractNumId w:val="1"/>
  </w:num>
  <w:num w:numId="2" w16cid:durableId="1615087979">
    <w:abstractNumId w:val="0"/>
  </w:num>
  <w:num w:numId="3" w16cid:durableId="1768112993">
    <w:abstractNumId w:val="3"/>
  </w:num>
  <w:num w:numId="4" w16cid:durableId="212036752">
    <w:abstractNumId w:val="4"/>
  </w:num>
  <w:num w:numId="5" w16cid:durableId="84339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5"/>
    <w:rsid w:val="000041A8"/>
    <w:rsid w:val="00071B8A"/>
    <w:rsid w:val="000C4746"/>
    <w:rsid w:val="000E7BD3"/>
    <w:rsid w:val="000F2291"/>
    <w:rsid w:val="001A751E"/>
    <w:rsid w:val="001D5A44"/>
    <w:rsid w:val="001E22A5"/>
    <w:rsid w:val="001F17BB"/>
    <w:rsid w:val="001F657B"/>
    <w:rsid w:val="00216BEC"/>
    <w:rsid w:val="00232756"/>
    <w:rsid w:val="00233F16"/>
    <w:rsid w:val="002C70E9"/>
    <w:rsid w:val="002F463D"/>
    <w:rsid w:val="002F6644"/>
    <w:rsid w:val="00345ACF"/>
    <w:rsid w:val="003A2EC4"/>
    <w:rsid w:val="00422DB9"/>
    <w:rsid w:val="0044572B"/>
    <w:rsid w:val="00463D0D"/>
    <w:rsid w:val="00483BE7"/>
    <w:rsid w:val="004A7529"/>
    <w:rsid w:val="004C2EA4"/>
    <w:rsid w:val="00501D01"/>
    <w:rsid w:val="005313BB"/>
    <w:rsid w:val="00565A06"/>
    <w:rsid w:val="00596AFD"/>
    <w:rsid w:val="005C170F"/>
    <w:rsid w:val="00631ED1"/>
    <w:rsid w:val="00663D5B"/>
    <w:rsid w:val="00677D9B"/>
    <w:rsid w:val="00736681"/>
    <w:rsid w:val="00764510"/>
    <w:rsid w:val="00764887"/>
    <w:rsid w:val="007A3A5D"/>
    <w:rsid w:val="00832D37"/>
    <w:rsid w:val="00865B72"/>
    <w:rsid w:val="008A5CA9"/>
    <w:rsid w:val="008A6ED9"/>
    <w:rsid w:val="008D432E"/>
    <w:rsid w:val="008D5C99"/>
    <w:rsid w:val="008E04FD"/>
    <w:rsid w:val="008F633B"/>
    <w:rsid w:val="00920907"/>
    <w:rsid w:val="00927B86"/>
    <w:rsid w:val="00973DE8"/>
    <w:rsid w:val="00984CB1"/>
    <w:rsid w:val="009961B4"/>
    <w:rsid w:val="009E329C"/>
    <w:rsid w:val="009E507A"/>
    <w:rsid w:val="009F764A"/>
    <w:rsid w:val="00A74C60"/>
    <w:rsid w:val="00AA6CE9"/>
    <w:rsid w:val="00AD3DB3"/>
    <w:rsid w:val="00B65F25"/>
    <w:rsid w:val="00B97AD6"/>
    <w:rsid w:val="00BA2A2E"/>
    <w:rsid w:val="00BE2314"/>
    <w:rsid w:val="00BF2FDB"/>
    <w:rsid w:val="00C1368D"/>
    <w:rsid w:val="00C1625B"/>
    <w:rsid w:val="00C34B29"/>
    <w:rsid w:val="00C71E11"/>
    <w:rsid w:val="00C82920"/>
    <w:rsid w:val="00CB5F77"/>
    <w:rsid w:val="00CC1474"/>
    <w:rsid w:val="00CF1750"/>
    <w:rsid w:val="00D0532D"/>
    <w:rsid w:val="00D119B6"/>
    <w:rsid w:val="00D36448"/>
    <w:rsid w:val="00D42276"/>
    <w:rsid w:val="00D63EA1"/>
    <w:rsid w:val="00DE60AD"/>
    <w:rsid w:val="00E208D3"/>
    <w:rsid w:val="00E44529"/>
    <w:rsid w:val="00E556BE"/>
    <w:rsid w:val="00E94056"/>
    <w:rsid w:val="00EB620C"/>
    <w:rsid w:val="00ED47D2"/>
    <w:rsid w:val="00ED785C"/>
    <w:rsid w:val="00EE4E7C"/>
    <w:rsid w:val="00F02EC0"/>
    <w:rsid w:val="00F93A39"/>
    <w:rsid w:val="00FD2CF9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54D1"/>
  <w15:chartTrackingRefBased/>
  <w15:docId w15:val="{BB97FD88-4DAA-4EC3-947E-1EB708F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2EC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ConsPlusTitle">
    <w:name w:val="ConsPlusTitle"/>
    <w:rsid w:val="00B65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0A3F-BFC3-41FE-8E8F-3B04D55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Ханцевич</dc:creator>
  <cp:keywords/>
  <dc:description/>
  <cp:lastModifiedBy>Городской Совет</cp:lastModifiedBy>
  <cp:revision>43</cp:revision>
  <cp:lastPrinted>2025-09-19T09:19:00Z</cp:lastPrinted>
  <dcterms:created xsi:type="dcterms:W3CDTF">2021-03-17T08:32:00Z</dcterms:created>
  <dcterms:modified xsi:type="dcterms:W3CDTF">2025-09-19T09:19:00Z</dcterms:modified>
</cp:coreProperties>
</file>