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9A38" w14:textId="77777777" w:rsidR="005132FA" w:rsidRDefault="005132FA" w:rsidP="005132FA">
      <w:pPr>
        <w:pStyle w:val="a5"/>
      </w:pPr>
      <w:r>
        <w:t>Пояснительная записка</w:t>
      </w:r>
    </w:p>
    <w:p w14:paraId="2AE45606" w14:textId="77777777" w:rsidR="005132FA" w:rsidRDefault="005132FA" w:rsidP="005132FA">
      <w:pPr>
        <w:jc w:val="center"/>
        <w:rPr>
          <w:sz w:val="28"/>
        </w:rPr>
      </w:pPr>
      <w:r>
        <w:rPr>
          <w:sz w:val="28"/>
        </w:rPr>
        <w:t>к схеме образования одномандатных избирательных округов</w:t>
      </w:r>
    </w:p>
    <w:p w14:paraId="14C4EB71" w14:textId="77777777" w:rsidR="005132FA" w:rsidRDefault="005132FA" w:rsidP="005132FA">
      <w:pPr>
        <w:jc w:val="center"/>
      </w:pPr>
      <w:r>
        <w:rPr>
          <w:sz w:val="28"/>
        </w:rPr>
        <w:t>для проведения выборов депутатов Петрозаводского городского Совета</w:t>
      </w:r>
    </w:p>
    <w:p w14:paraId="6188F78F" w14:textId="77777777" w:rsidR="005132FA" w:rsidRDefault="005132FA" w:rsidP="005132FA">
      <w:pPr>
        <w:spacing w:line="360" w:lineRule="auto"/>
        <w:rPr>
          <w:sz w:val="28"/>
        </w:rPr>
      </w:pPr>
    </w:p>
    <w:p w14:paraId="5E8E1AEA" w14:textId="77777777" w:rsidR="005132FA" w:rsidRDefault="005132FA" w:rsidP="005132FA">
      <w:pPr>
        <w:pStyle w:val="1"/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Действующая схема </w:t>
      </w:r>
      <w:r>
        <w:t>одномандатных избирательных</w:t>
      </w:r>
      <w:r>
        <w:rPr>
          <w:szCs w:val="28"/>
        </w:rPr>
        <w:t xml:space="preserve"> округов </w:t>
      </w:r>
      <w:r>
        <w:t>для проведения выборов депутатов Петрозаводского городского Совета утверждена решением Петрозаводского городского Совета от 25 февраля 2016 года №</w:t>
      </w:r>
      <w:r>
        <w:rPr>
          <w:szCs w:val="28"/>
        </w:rPr>
        <w:t xml:space="preserve"> 27/46-4. Указанное решение опубликовано в периодическом печатном средстве массовой информации органов местного самоуправления Петрозаводского городского округа - «Информационный бюллетень 107, 11 марта 2016».</w:t>
      </w:r>
    </w:p>
    <w:p w14:paraId="0CAB676A" w14:textId="77777777" w:rsidR="005132FA" w:rsidRDefault="005132FA" w:rsidP="005132FA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2 статьи 18 Федерального Закона «Об основных гарантиях избирательных прав и права на участие в референдуме граждан Российской Федерации» одномандатные и (или) многомандатные избирательные округа образуются сроком на десять лет. Новая схема одномандатных и (или) многомандатных избирательных округов определяется не позднее чем за 80 дней до истечения срока, на который была утверждена прежняя схема одномандатных и (или) многомандатных избирательных округов.</w:t>
      </w:r>
    </w:p>
    <w:p w14:paraId="26AB1045" w14:textId="4EED72FA" w:rsidR="005132FA" w:rsidRDefault="005132FA" w:rsidP="005132FA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Территориальной избирательной комиссией г.</w:t>
      </w:r>
      <w:r w:rsidR="007B42AE">
        <w:t> </w:t>
      </w:r>
      <w:r>
        <w:rPr>
          <w:sz w:val="28"/>
          <w:szCs w:val="28"/>
        </w:rPr>
        <w:t>Петрозаводска №</w:t>
      </w:r>
      <w:r w:rsidR="00775D95">
        <w:rPr>
          <w:sz w:val="28"/>
          <w:szCs w:val="28"/>
        </w:rPr>
        <w:t xml:space="preserve"> </w:t>
      </w:r>
      <w:r>
        <w:rPr>
          <w:sz w:val="28"/>
          <w:szCs w:val="28"/>
        </w:rPr>
        <w:t>1 определена схема одномандатных избирательных округов для проведения выборов депутатов Петрозаводского городского Совета для представления в Петрозаводский городской Совет, включая ее графическое изображение (приложения 1 и 2 к решению Территориальной избирательной комиссии г.</w:t>
      </w:r>
      <w:r w:rsidR="00775D95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Петрозаводска №</w:t>
      </w:r>
      <w:r w:rsidR="00775D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7B42AE">
        <w:rPr>
          <w:sz w:val="28"/>
          <w:szCs w:val="28"/>
        </w:rPr>
        <w:t xml:space="preserve">от </w:t>
      </w:r>
      <w:r w:rsidR="00BA7106" w:rsidRPr="007B42AE">
        <w:rPr>
          <w:sz w:val="28"/>
          <w:szCs w:val="28"/>
        </w:rPr>
        <w:t>20</w:t>
      </w:r>
      <w:r w:rsidRPr="007B42AE">
        <w:rPr>
          <w:sz w:val="28"/>
          <w:szCs w:val="28"/>
        </w:rPr>
        <w:t xml:space="preserve"> </w:t>
      </w:r>
      <w:r w:rsidR="00BA7106" w:rsidRPr="007B42AE">
        <w:rPr>
          <w:sz w:val="28"/>
          <w:szCs w:val="28"/>
        </w:rPr>
        <w:t>ноября</w:t>
      </w:r>
      <w:r w:rsidRPr="007B42AE">
        <w:rPr>
          <w:sz w:val="28"/>
          <w:szCs w:val="28"/>
        </w:rPr>
        <w:t xml:space="preserve"> 2025 года №</w:t>
      </w:r>
      <w:r w:rsidR="00BA7106" w:rsidRPr="007B42AE">
        <w:rPr>
          <w:sz w:val="28"/>
          <w:szCs w:val="28"/>
        </w:rPr>
        <w:t>136/792-05</w:t>
      </w:r>
      <w:r w:rsidRPr="007B42AE">
        <w:rPr>
          <w:sz w:val="28"/>
          <w:szCs w:val="28"/>
        </w:rPr>
        <w:t>).</w:t>
      </w:r>
    </w:p>
    <w:p w14:paraId="0B9BFAD7" w14:textId="71869DCC" w:rsidR="005132FA" w:rsidRDefault="005132FA" w:rsidP="005132FA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образования одномандатных избирательных округов для проведения выборов депутатов </w:t>
      </w:r>
      <w:r w:rsidRPr="007B42AE">
        <w:rPr>
          <w:sz w:val="28"/>
          <w:szCs w:val="28"/>
        </w:rPr>
        <w:t>Петрозаводского</w:t>
      </w:r>
      <w:r>
        <w:rPr>
          <w:sz w:val="28"/>
          <w:szCs w:val="28"/>
        </w:rPr>
        <w:t xml:space="preserve"> городского Совета определена на основании требований пункта 2 статьи 18 Федерального Закона от 12 июня 2002 года №67-ФЗ «Об основных гарантиях избирательных прав и права на участие в референдуме граждан Российской Федерации» и с учетом положений Методики образования одномандатных избирательных округов для проведения выборов депутатов Петрозаводского городского Совета, утвержденной решением Территориальной избирательной комиссией г.</w:t>
      </w:r>
      <w:r w:rsidR="00775D95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Петрозаводска №</w:t>
      </w:r>
      <w:r w:rsidR="00775D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7B42AE">
        <w:rPr>
          <w:sz w:val="28"/>
          <w:szCs w:val="28"/>
        </w:rPr>
        <w:t xml:space="preserve">от </w:t>
      </w:r>
      <w:r w:rsidR="00BA7106" w:rsidRPr="007B42AE">
        <w:rPr>
          <w:sz w:val="28"/>
          <w:szCs w:val="28"/>
        </w:rPr>
        <w:t>20</w:t>
      </w:r>
      <w:r w:rsidRPr="007B42AE">
        <w:rPr>
          <w:sz w:val="28"/>
          <w:szCs w:val="28"/>
        </w:rPr>
        <w:t xml:space="preserve"> </w:t>
      </w:r>
      <w:r w:rsidR="00BA7106" w:rsidRPr="007B42AE">
        <w:rPr>
          <w:sz w:val="28"/>
          <w:szCs w:val="28"/>
        </w:rPr>
        <w:t>ноября</w:t>
      </w:r>
      <w:r w:rsidRPr="007B42AE">
        <w:rPr>
          <w:sz w:val="28"/>
          <w:szCs w:val="28"/>
        </w:rPr>
        <w:t xml:space="preserve"> 2025 года №</w:t>
      </w:r>
      <w:r w:rsidR="00BA7106" w:rsidRPr="007B42AE">
        <w:rPr>
          <w:sz w:val="28"/>
          <w:szCs w:val="28"/>
        </w:rPr>
        <w:t>136/791-05</w:t>
      </w:r>
      <w:r w:rsidR="0081581C" w:rsidRPr="007B42AE">
        <w:rPr>
          <w:sz w:val="28"/>
          <w:szCs w:val="28"/>
        </w:rPr>
        <w:t xml:space="preserve"> (прилагается)</w:t>
      </w:r>
      <w:r w:rsidRPr="007B42AE">
        <w:rPr>
          <w:sz w:val="28"/>
          <w:szCs w:val="28"/>
        </w:rPr>
        <w:t>.</w:t>
      </w:r>
    </w:p>
    <w:p w14:paraId="79F2C06D" w14:textId="77777777" w:rsidR="005132FA" w:rsidRDefault="005132FA" w:rsidP="005132FA">
      <w:pPr>
        <w:pStyle w:val="a3"/>
        <w:spacing w:line="360" w:lineRule="auto"/>
      </w:pPr>
      <w:r>
        <w:lastRenderedPageBreak/>
        <w:t>Средняя норма представительства избирателей на одномандатный избирательный округ определяется как частное от деления общего числа избирателей, зарегистрированных на территории Петрозаводского городского округа по состоянию на 1 июля 2025 года (209 501избиратель) на 14</w:t>
      </w:r>
      <w:r w:rsidR="00BF157B">
        <w:rPr>
          <w:lang w:val="en-US"/>
        </w:rPr>
        <w:t> </w:t>
      </w:r>
      <w:r>
        <w:t xml:space="preserve">одномандатных избирательных округов (далее избирательных округов), округленное до ближайшего целого числа. Таким образом, в результате выполнения указанных действий средняя норма представительства избирателей на одномандатный избирательный округ составляет </w:t>
      </w:r>
      <w:r w:rsidRPr="00BF157B">
        <w:rPr>
          <w:b/>
        </w:rPr>
        <w:t>14 964</w:t>
      </w:r>
      <w:r>
        <w:t xml:space="preserve"> человека.</w:t>
      </w:r>
    </w:p>
    <w:p w14:paraId="70CD09E2" w14:textId="77777777" w:rsidR="005132FA" w:rsidRDefault="005132FA" w:rsidP="005132FA">
      <w:pPr>
        <w:pStyle w:val="a3"/>
        <w:spacing w:line="360" w:lineRule="auto"/>
      </w:pPr>
      <w:r>
        <w:t>Отклонение от средней нормы представительства рассчитывается по нижеприведенной формуле, после чего полученное значение округляется до второго знака после запятой. Положительное значение отклонения от средней нормы означает отклонение в большую сторону, отрицательное значение – в меньшую.</w:t>
      </w:r>
    </w:p>
    <w:p w14:paraId="05011FB6" w14:textId="26E35724" w:rsidR="005132FA" w:rsidRDefault="00566F3C" w:rsidP="005132FA">
      <w:pPr>
        <w:pStyle w:val="a3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AEB596" wp14:editId="17D6CF81">
                <wp:simplePos x="0" y="0"/>
                <wp:positionH relativeFrom="column">
                  <wp:posOffset>1943100</wp:posOffset>
                </wp:positionH>
                <wp:positionV relativeFrom="paragraph">
                  <wp:posOffset>407670</wp:posOffset>
                </wp:positionV>
                <wp:extent cx="3086100" cy="685800"/>
                <wp:effectExtent l="0" t="635" r="4445" b="0"/>
                <wp:wrapNone/>
                <wp:docPr id="12177494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79"/>
                            </w:tblGrid>
                            <w:tr w:rsidR="005132FA" w14:paraId="7863D528" w14:textId="77777777"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69F85F10" w14:textId="77777777" w:rsidR="005132FA" w:rsidRDefault="005132FA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число избирателей в округе - средняя норма</w:t>
                                  </w:r>
                                </w:p>
                              </w:tc>
                            </w:tr>
                            <w:tr w:rsidR="005132FA" w14:paraId="6666D810" w14:textId="77777777"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28F55266" w14:textId="77777777" w:rsidR="005132FA" w:rsidRDefault="005132F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</w:rPr>
                                    <w:t>средняя норма</w:t>
                                  </w:r>
                                </w:p>
                              </w:tc>
                            </w:tr>
                          </w:tbl>
                          <w:p w14:paraId="127BC2D2" w14:textId="77777777" w:rsidR="005132FA" w:rsidRDefault="005132FA" w:rsidP="005132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EB59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53pt;margin-top:32.1pt;width:243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" filled="f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79"/>
                      </w:tblGrid>
                      <w:tr w:rsidR="005132FA" w14:paraId="7863D528" w14:textId="77777777"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14:paraId="69F85F10" w14:textId="77777777" w:rsidR="005132FA" w:rsidRDefault="005132F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число избирателей в округе - средняя норма</w:t>
                            </w:r>
                          </w:p>
                        </w:tc>
                      </w:tr>
                      <w:tr w:rsidR="005132FA" w14:paraId="6666D810" w14:textId="77777777"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28F55266" w14:textId="77777777" w:rsidR="005132FA" w:rsidRDefault="005132F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средняя норма</w:t>
                            </w:r>
                          </w:p>
                        </w:tc>
                      </w:tr>
                    </w:tbl>
                    <w:p w14:paraId="127BC2D2" w14:textId="77777777" w:rsidR="005132FA" w:rsidRDefault="005132FA" w:rsidP="005132F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79462F" wp14:editId="55907096">
                <wp:simplePos x="0" y="0"/>
                <wp:positionH relativeFrom="column">
                  <wp:posOffset>114300</wp:posOffset>
                </wp:positionH>
                <wp:positionV relativeFrom="paragraph">
                  <wp:posOffset>295275</wp:posOffset>
                </wp:positionV>
                <wp:extent cx="1485900" cy="685800"/>
                <wp:effectExtent l="0" t="2540" r="4445" b="0"/>
                <wp:wrapNone/>
                <wp:docPr id="16719136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2ABB5" w14:textId="77777777" w:rsidR="005132FA" w:rsidRDefault="005132FA" w:rsidP="005132FA">
                            <w:pPr>
                              <w:pStyle w:val="a7"/>
                            </w:pPr>
                            <w:r>
                              <w:t>Отклонение от средней нормы представительства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9462F" id="Text Box 8" o:spid="_x0000_s1027" type="#_x0000_t202" style="position:absolute;left:0;text-align:left;margin-left:9pt;margin-top:23.25pt;width:117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" filled="f" stroked="f">
                <v:textbox>
                  <w:txbxContent>
                    <w:p w14:paraId="2722ABB5" w14:textId="77777777" w:rsidR="005132FA" w:rsidRDefault="005132FA" w:rsidP="005132FA">
                      <w:pPr>
                        <w:pStyle w:val="a7"/>
                      </w:pPr>
                      <w:r>
                        <w:t>Отклонение от средней нормы представительства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865B4F" wp14:editId="0C81B7BB">
                <wp:simplePos x="0" y="0"/>
                <wp:positionH relativeFrom="column">
                  <wp:posOffset>5029200</wp:posOffset>
                </wp:positionH>
                <wp:positionV relativeFrom="paragraph">
                  <wp:posOffset>407670</wp:posOffset>
                </wp:positionV>
                <wp:extent cx="800100" cy="571500"/>
                <wp:effectExtent l="0" t="635" r="4445" b="0"/>
                <wp:wrapNone/>
                <wp:docPr id="8151180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6C905" w14:textId="77777777" w:rsidR="005132FA" w:rsidRDefault="005132FA" w:rsidP="005132F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*100%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65B4F" id="Text Box 9" o:spid="_x0000_s1028" type="#_x0000_t202" style="position:absolute;left:0;text-align:left;margin-left:396pt;margin-top:32.1pt;width:6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" filled="f" stroked="f">
                <v:textbox>
                  <w:txbxContent>
                    <w:p w14:paraId="4A36C905" w14:textId="77777777" w:rsidR="005132FA" w:rsidRDefault="005132FA" w:rsidP="005132F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*100%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99E32" wp14:editId="63C97BBA">
                <wp:simplePos x="0" y="0"/>
                <wp:positionH relativeFrom="column">
                  <wp:posOffset>1598295</wp:posOffset>
                </wp:positionH>
                <wp:positionV relativeFrom="paragraph">
                  <wp:posOffset>295275</wp:posOffset>
                </wp:positionV>
                <wp:extent cx="342900" cy="571500"/>
                <wp:effectExtent l="3175" t="2540" r="0" b="0"/>
                <wp:wrapNone/>
                <wp:docPr id="3894516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67E92" w14:textId="77777777" w:rsidR="005132FA" w:rsidRDefault="005132FA" w:rsidP="005132F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626CA6" w14:textId="77777777" w:rsidR="005132FA" w:rsidRDefault="005132FA" w:rsidP="005132F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99E32" id="Text Box 10" o:spid="_x0000_s1029" type="#_x0000_t202" style="position:absolute;left:0;text-align:left;margin-left:125.85pt;margin-top:23.25pt;width:2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" filled="f" stroked="f">
                <v:textbox>
                  <w:txbxContent>
                    <w:p w14:paraId="1FF67E92" w14:textId="77777777" w:rsidR="005132FA" w:rsidRDefault="005132FA" w:rsidP="005132FA">
                      <w:pPr>
                        <w:rPr>
                          <w:lang w:val="en-US"/>
                        </w:rPr>
                      </w:pPr>
                    </w:p>
                    <w:p w14:paraId="4E626CA6" w14:textId="77777777" w:rsidR="005132FA" w:rsidRDefault="005132FA" w:rsidP="005132F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14:paraId="172A3F4B" w14:textId="77777777" w:rsidR="005132FA" w:rsidRDefault="005132FA" w:rsidP="005132FA">
      <w:pPr>
        <w:pStyle w:val="a3"/>
        <w:spacing w:line="360" w:lineRule="auto"/>
      </w:pPr>
    </w:p>
    <w:p w14:paraId="4ACAE03C" w14:textId="77777777" w:rsidR="005132FA" w:rsidRDefault="005132FA" w:rsidP="005132FA">
      <w:pPr>
        <w:pStyle w:val="a3"/>
        <w:spacing w:line="360" w:lineRule="auto"/>
      </w:pPr>
    </w:p>
    <w:p w14:paraId="64093C48" w14:textId="77777777" w:rsidR="005132FA" w:rsidRDefault="005132FA" w:rsidP="005132FA">
      <w:pPr>
        <w:pStyle w:val="a3"/>
        <w:spacing w:line="360" w:lineRule="auto"/>
      </w:pPr>
    </w:p>
    <w:p w14:paraId="515A71DE" w14:textId="77777777" w:rsidR="005132FA" w:rsidRDefault="005132FA" w:rsidP="005132FA">
      <w:pPr>
        <w:pStyle w:val="21"/>
        <w:spacing w:line="360" w:lineRule="auto"/>
        <w:ind w:firstLine="284"/>
      </w:pPr>
      <w:r>
        <w:t>Избирательные округа образуются с допустимым отклонением от средней нормы представительства не более чем на 10 процентов.</w:t>
      </w:r>
    </w:p>
    <w:p w14:paraId="15CF3814" w14:textId="77777777" w:rsidR="005132FA" w:rsidRDefault="005132FA" w:rsidP="005132FA">
      <w:pPr>
        <w:pStyle w:val="a3"/>
        <w:spacing w:line="360" w:lineRule="auto"/>
      </w:pPr>
      <w:r>
        <w:t xml:space="preserve">Для деления территории Петрозаводского на округа применялся программный модуль «Картография» из состава специального программного обеспечения ГАС «Выборы». В качестве исходных данных использованы сведения о численности избирателей, зарегистрированных в границах избирательных участков на территории Петрозаводского городского округа по состоянию на 1 июля 2025 года, средняя норма представительства избирателей в округе, допустимые отклонения численности от средней нормы (10 процентов), картографический слой границ избирательных участков. Элементом деления являлась территория в границах избирательного участка. В ходе деления (возможного перераспределения элементов между округами) осуществлялся автоматический контроль связности элементов (наличие общей границы с соседними), отсутствие выпадающих элементов (нераспределенных между </w:t>
      </w:r>
      <w:r>
        <w:lastRenderedPageBreak/>
        <w:t xml:space="preserve">округами), отклонение численности избирателей в округе от средней нормы в пределах допустимых значений. </w:t>
      </w:r>
    </w:p>
    <w:p w14:paraId="49A7165B" w14:textId="77777777" w:rsidR="005132FA" w:rsidRDefault="005132FA" w:rsidP="005132FA">
      <w:pPr>
        <w:pStyle w:val="a3"/>
        <w:spacing w:line="360" w:lineRule="auto"/>
      </w:pPr>
      <w:r>
        <w:t>Текстовое описание границ избирательных округов составлено на основании сведений об объектах недвижимости из адресных справочников базы данных регистра избирателей ГАС «Выборы», в которых зарегистрированы в установленном порядке избиратели по месту жительства на территории Петрозаводского городского округа по состоянию на 1 июля 2025 года, а также с учетом сведений об объектах недвижимости, содержащихся в Федеральной адресной информационной системе. В случае ввода в эксплуатацию новых объектов недвижимости и регистрации в них избирателей по месту жительства в период времени после 1 июля 2025 года, такие объекты будут дополнительно включены в границы избирательных участков и, соответственно, избирательных округов, в границы которых входят территории участков.</w:t>
      </w:r>
    </w:p>
    <w:p w14:paraId="2A1178A7" w14:textId="77777777" w:rsidR="005132FA" w:rsidRDefault="005132FA" w:rsidP="005132FA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Значения численности избирателей, зарегистрированных на территории соответствующего одномандатного избирательного округа по состоянию на 1 июля 2025 года и величины отклонений средней нормы представительства от числа избирателей в округе, приведены в приложении к настоящей пояснительной записке.</w:t>
      </w:r>
    </w:p>
    <w:p w14:paraId="7B4E5F1A" w14:textId="21C79D22" w:rsidR="005132FA" w:rsidRDefault="005132FA" w:rsidP="005132FA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Сведения о численности зарегистрированных по состоянию на 1 июля 2025 года избирателях на территории Петрозаводского городского округа (копия сведений по форме 3.2риур согласно приложению №</w:t>
      </w:r>
      <w:r w:rsidR="00695CBA">
        <w:rPr>
          <w:sz w:val="28"/>
        </w:rPr>
        <w:t xml:space="preserve"> </w:t>
      </w:r>
      <w:r>
        <w:rPr>
          <w:sz w:val="28"/>
        </w:rPr>
        <w:t>9 к Положению о Государственной системе регистрации (учета) избирателей, участников референдума в Российской Федерации</w:t>
      </w:r>
      <w:r w:rsidR="0081581C">
        <w:rPr>
          <w:sz w:val="28"/>
        </w:rPr>
        <w:t>)</w:t>
      </w:r>
      <w:r>
        <w:rPr>
          <w:sz w:val="28"/>
        </w:rPr>
        <w:t xml:space="preserve"> прилага</w:t>
      </w:r>
      <w:r w:rsidR="0081581C">
        <w:rPr>
          <w:sz w:val="28"/>
        </w:rPr>
        <w:t>ю</w:t>
      </w:r>
      <w:r>
        <w:rPr>
          <w:sz w:val="28"/>
        </w:rPr>
        <w:t>тся.</w:t>
      </w:r>
    </w:p>
    <w:p w14:paraId="08A370BE" w14:textId="77777777" w:rsidR="00691653" w:rsidRPr="007C3D04" w:rsidRDefault="00691653" w:rsidP="00366DD2">
      <w:pPr>
        <w:spacing w:line="360" w:lineRule="auto"/>
        <w:ind w:firstLine="360"/>
        <w:jc w:val="both"/>
        <w:rPr>
          <w:sz w:val="28"/>
          <w:highlight w:val="yellow"/>
        </w:rPr>
      </w:pPr>
    </w:p>
    <w:p w14:paraId="0128EC17" w14:textId="4260CF51" w:rsidR="00691653" w:rsidRPr="00265E2C" w:rsidRDefault="00691653" w:rsidP="00366DD2">
      <w:pPr>
        <w:spacing w:line="360" w:lineRule="auto"/>
        <w:ind w:firstLine="360"/>
        <w:jc w:val="both"/>
        <w:rPr>
          <w:sz w:val="28"/>
        </w:rPr>
      </w:pPr>
      <w:r w:rsidRPr="00522F0F">
        <w:rPr>
          <w:sz w:val="28"/>
        </w:rPr>
        <w:t>Приложени</w:t>
      </w:r>
      <w:r w:rsidR="00E73F9B">
        <w:rPr>
          <w:sz w:val="28"/>
        </w:rPr>
        <w:t>е</w:t>
      </w:r>
      <w:r w:rsidRPr="00522F0F">
        <w:rPr>
          <w:sz w:val="28"/>
        </w:rPr>
        <w:t xml:space="preserve">: по тексту </w:t>
      </w:r>
      <w:r w:rsidRPr="00265E2C">
        <w:rPr>
          <w:sz w:val="28"/>
        </w:rPr>
        <w:t xml:space="preserve">на </w:t>
      </w:r>
      <w:r w:rsidR="00CF7BAC">
        <w:rPr>
          <w:sz w:val="28"/>
        </w:rPr>
        <w:t>__</w:t>
      </w:r>
      <w:r w:rsidRPr="00265E2C">
        <w:rPr>
          <w:sz w:val="28"/>
        </w:rPr>
        <w:t xml:space="preserve"> л.</w:t>
      </w:r>
    </w:p>
    <w:p w14:paraId="19F5D146" w14:textId="77777777" w:rsidR="00BB6238" w:rsidRPr="00522F0F" w:rsidRDefault="00BB6238">
      <w:pPr>
        <w:spacing w:line="360" w:lineRule="auto"/>
        <w:ind w:firstLine="360"/>
        <w:jc w:val="both"/>
        <w:rPr>
          <w:sz w:val="28"/>
        </w:rPr>
      </w:pPr>
    </w:p>
    <w:p w14:paraId="066A36A3" w14:textId="09073B64" w:rsidR="00BB6238" w:rsidRPr="00522F0F" w:rsidRDefault="00522F0F">
      <w:pPr>
        <w:spacing w:line="360" w:lineRule="auto"/>
        <w:ind w:firstLine="360"/>
        <w:jc w:val="both"/>
        <w:rPr>
          <w:sz w:val="28"/>
        </w:rPr>
      </w:pPr>
      <w:r w:rsidRPr="00522F0F">
        <w:rPr>
          <w:sz w:val="28"/>
        </w:rPr>
        <w:t>Территориальная избирательная комиссия г.</w:t>
      </w:r>
      <w:r w:rsidR="00775D95">
        <w:rPr>
          <w:sz w:val="28"/>
        </w:rPr>
        <w:t xml:space="preserve"> </w:t>
      </w:r>
      <w:r w:rsidRPr="00522F0F">
        <w:rPr>
          <w:sz w:val="28"/>
        </w:rPr>
        <w:t>Петрозаводска №</w:t>
      </w:r>
      <w:r w:rsidR="00775D95">
        <w:rPr>
          <w:sz w:val="28"/>
        </w:rPr>
        <w:t xml:space="preserve"> </w:t>
      </w:r>
      <w:r w:rsidRPr="00522F0F">
        <w:rPr>
          <w:sz w:val="28"/>
        </w:rPr>
        <w:t>1</w:t>
      </w:r>
    </w:p>
    <w:p w14:paraId="33BEBFC7" w14:textId="495EA00E" w:rsidR="00BB6238" w:rsidRDefault="00CD68BB">
      <w:pPr>
        <w:spacing w:line="360" w:lineRule="auto"/>
        <w:ind w:firstLine="360"/>
        <w:jc w:val="both"/>
        <w:rPr>
          <w:sz w:val="28"/>
        </w:rPr>
      </w:pPr>
      <w:r w:rsidRPr="00CD68BB">
        <w:rPr>
          <w:sz w:val="28"/>
        </w:rPr>
        <w:t>20</w:t>
      </w:r>
      <w:r w:rsidR="0012361C" w:rsidRPr="00CD68BB">
        <w:rPr>
          <w:sz w:val="28"/>
        </w:rPr>
        <w:t xml:space="preserve"> </w:t>
      </w:r>
      <w:r w:rsidRPr="00CD68BB">
        <w:rPr>
          <w:sz w:val="28"/>
        </w:rPr>
        <w:t>ноября</w:t>
      </w:r>
      <w:r w:rsidR="00BB6238" w:rsidRPr="00CD68BB">
        <w:rPr>
          <w:sz w:val="28"/>
        </w:rPr>
        <w:t xml:space="preserve"> 20</w:t>
      </w:r>
      <w:r w:rsidR="00EE59DE" w:rsidRPr="00CD68BB">
        <w:rPr>
          <w:sz w:val="28"/>
        </w:rPr>
        <w:t>2</w:t>
      </w:r>
      <w:r w:rsidR="00341C87" w:rsidRPr="00CD68BB">
        <w:rPr>
          <w:sz w:val="28"/>
        </w:rPr>
        <w:t>5</w:t>
      </w:r>
      <w:r w:rsidR="00BB6238" w:rsidRPr="00CD68BB">
        <w:rPr>
          <w:sz w:val="28"/>
        </w:rPr>
        <w:t xml:space="preserve"> г.</w:t>
      </w:r>
    </w:p>
    <w:p w14:paraId="37D00C19" w14:textId="77777777" w:rsidR="00522F0F" w:rsidRDefault="00522F0F">
      <w:pPr>
        <w:rPr>
          <w:sz w:val="28"/>
          <w:highlight w:val="yellow"/>
        </w:rPr>
      </w:pPr>
      <w:r>
        <w:rPr>
          <w:sz w:val="28"/>
          <w:highlight w:val="yellow"/>
        </w:rPr>
        <w:br w:type="page"/>
      </w:r>
    </w:p>
    <w:p w14:paraId="436CF243" w14:textId="77777777" w:rsidR="00522F0F" w:rsidRDefault="00E73F9B" w:rsidP="003917D5">
      <w:pPr>
        <w:ind w:firstLine="360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617B9D30" w14:textId="77777777" w:rsidR="002E168F" w:rsidRPr="007B42AE" w:rsidRDefault="00E73F9B" w:rsidP="002E168F">
      <w:pPr>
        <w:jc w:val="right"/>
        <w:rPr>
          <w:sz w:val="28"/>
        </w:rPr>
      </w:pPr>
      <w:r>
        <w:rPr>
          <w:sz w:val="28"/>
        </w:rPr>
        <w:t>к пояснительной записке</w:t>
      </w:r>
      <w:r w:rsidR="002E168F" w:rsidRPr="002E168F">
        <w:rPr>
          <w:sz w:val="28"/>
        </w:rPr>
        <w:t xml:space="preserve"> </w:t>
      </w:r>
      <w:r w:rsidR="002E168F">
        <w:rPr>
          <w:sz w:val="28"/>
        </w:rPr>
        <w:t>к схеме образования одномандатных</w:t>
      </w:r>
    </w:p>
    <w:p w14:paraId="0D207F26" w14:textId="77777777" w:rsidR="002E168F" w:rsidRPr="007B42AE" w:rsidRDefault="002E168F" w:rsidP="002E168F">
      <w:pPr>
        <w:jc w:val="right"/>
        <w:rPr>
          <w:sz w:val="28"/>
        </w:rPr>
      </w:pPr>
      <w:r>
        <w:rPr>
          <w:sz w:val="28"/>
        </w:rPr>
        <w:t xml:space="preserve"> избирательных округов</w:t>
      </w:r>
      <w:r w:rsidRPr="002E168F">
        <w:rPr>
          <w:sz w:val="28"/>
        </w:rPr>
        <w:t xml:space="preserve"> </w:t>
      </w:r>
      <w:r>
        <w:rPr>
          <w:sz w:val="28"/>
        </w:rPr>
        <w:t>для проведения выборов депутатов</w:t>
      </w:r>
    </w:p>
    <w:p w14:paraId="5BEE487B" w14:textId="32BA8356" w:rsidR="002E168F" w:rsidRDefault="002E168F" w:rsidP="002E168F">
      <w:pPr>
        <w:jc w:val="right"/>
      </w:pPr>
      <w:r>
        <w:rPr>
          <w:sz w:val="28"/>
        </w:rPr>
        <w:t>Петрозаводского городского Совета</w:t>
      </w:r>
    </w:p>
    <w:p w14:paraId="5F5F83A1" w14:textId="77777777" w:rsidR="002E168F" w:rsidRDefault="002E168F" w:rsidP="002E168F">
      <w:pPr>
        <w:spacing w:line="360" w:lineRule="auto"/>
        <w:rPr>
          <w:sz w:val="28"/>
        </w:rPr>
      </w:pPr>
    </w:p>
    <w:p w14:paraId="095F31AC" w14:textId="77777777" w:rsidR="003917D5" w:rsidRDefault="003917D5" w:rsidP="003917D5">
      <w:pPr>
        <w:ind w:firstLine="360"/>
        <w:jc w:val="right"/>
        <w:rPr>
          <w:sz w:val="28"/>
        </w:rPr>
      </w:pP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3222"/>
        <w:gridCol w:w="3469"/>
      </w:tblGrid>
      <w:tr w:rsidR="00E73F9B" w:rsidRPr="00E73F9B" w14:paraId="37DA3890" w14:textId="77777777" w:rsidTr="00D45807">
        <w:trPr>
          <w:trHeight w:val="255"/>
          <w:jc w:val="center"/>
        </w:trPr>
        <w:tc>
          <w:tcPr>
            <w:tcW w:w="2449" w:type="dxa"/>
            <w:hideMark/>
          </w:tcPr>
          <w:p w14:paraId="240150A1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</w:t>
            </w:r>
            <w:r w:rsidR="00D45807">
              <w:rPr>
                <w:color w:val="000000"/>
                <w:sz w:val="28"/>
                <w:szCs w:val="28"/>
              </w:rPr>
              <w:t xml:space="preserve"> одномандатного</w:t>
            </w:r>
            <w:r>
              <w:rPr>
                <w:color w:val="000000"/>
                <w:sz w:val="28"/>
                <w:szCs w:val="28"/>
              </w:rPr>
              <w:t xml:space="preserve"> избирательного о</w:t>
            </w:r>
            <w:r w:rsidRPr="00E73F9B">
              <w:rPr>
                <w:color w:val="000000"/>
                <w:sz w:val="28"/>
                <w:szCs w:val="28"/>
              </w:rPr>
              <w:t>круг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22" w:type="dxa"/>
            <w:hideMark/>
          </w:tcPr>
          <w:p w14:paraId="617EEC5B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Числ</w:t>
            </w:r>
            <w:r>
              <w:rPr>
                <w:color w:val="000000"/>
                <w:sz w:val="28"/>
                <w:szCs w:val="28"/>
              </w:rPr>
              <w:t>енность избирателей в избирательном округе по состоянию на 01.07.2025 г.</w:t>
            </w:r>
          </w:p>
        </w:tc>
        <w:tc>
          <w:tcPr>
            <w:tcW w:w="3469" w:type="dxa"/>
            <w:noWrap/>
            <w:hideMark/>
          </w:tcPr>
          <w:p w14:paraId="5D3E3DEB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Отклонение</w:t>
            </w:r>
            <w:r>
              <w:rPr>
                <w:color w:val="000000"/>
                <w:sz w:val="28"/>
                <w:szCs w:val="28"/>
              </w:rPr>
              <w:t xml:space="preserve"> от средней нормы представительства избирателей (%)</w:t>
            </w:r>
          </w:p>
        </w:tc>
      </w:tr>
      <w:tr w:rsidR="00E73F9B" w:rsidRPr="00E73F9B" w14:paraId="66D70CAA" w14:textId="77777777" w:rsidTr="00D45807">
        <w:trPr>
          <w:trHeight w:val="255"/>
          <w:jc w:val="center"/>
        </w:trPr>
        <w:tc>
          <w:tcPr>
            <w:tcW w:w="2449" w:type="dxa"/>
            <w:hideMark/>
          </w:tcPr>
          <w:p w14:paraId="49B8BE22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2" w:type="dxa"/>
            <w:hideMark/>
          </w:tcPr>
          <w:p w14:paraId="4F6305AD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16430</w:t>
            </w:r>
          </w:p>
        </w:tc>
        <w:tc>
          <w:tcPr>
            <w:tcW w:w="3469" w:type="dxa"/>
            <w:noWrap/>
            <w:vAlign w:val="bottom"/>
            <w:hideMark/>
          </w:tcPr>
          <w:p w14:paraId="24DDAA32" w14:textId="5B6F391A" w:rsidR="00E73F9B" w:rsidRPr="00F209D9" w:rsidRDefault="00E73F9B" w:rsidP="00E73F9B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73F9B">
              <w:rPr>
                <w:color w:val="000000"/>
                <w:sz w:val="28"/>
                <w:szCs w:val="28"/>
              </w:rPr>
              <w:t>9,8</w:t>
            </w:r>
            <w:r w:rsidR="00F209D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73F9B" w:rsidRPr="00E73F9B" w14:paraId="5E3130D5" w14:textId="77777777" w:rsidTr="00D45807">
        <w:trPr>
          <w:trHeight w:val="255"/>
          <w:jc w:val="center"/>
        </w:trPr>
        <w:tc>
          <w:tcPr>
            <w:tcW w:w="2449" w:type="dxa"/>
            <w:hideMark/>
          </w:tcPr>
          <w:p w14:paraId="630DC10E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22" w:type="dxa"/>
            <w:hideMark/>
          </w:tcPr>
          <w:p w14:paraId="21B41420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13763</w:t>
            </w:r>
          </w:p>
        </w:tc>
        <w:tc>
          <w:tcPr>
            <w:tcW w:w="3469" w:type="dxa"/>
            <w:noWrap/>
            <w:vAlign w:val="bottom"/>
            <w:hideMark/>
          </w:tcPr>
          <w:p w14:paraId="1474C188" w14:textId="77777777" w:rsidR="00E73F9B" w:rsidRPr="00E73F9B" w:rsidRDefault="00E73F9B" w:rsidP="00E73F9B">
            <w:pPr>
              <w:jc w:val="right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-8,03</w:t>
            </w:r>
          </w:p>
        </w:tc>
      </w:tr>
      <w:tr w:rsidR="00E73F9B" w:rsidRPr="00E73F9B" w14:paraId="52042F0A" w14:textId="77777777" w:rsidTr="00D45807">
        <w:trPr>
          <w:trHeight w:val="255"/>
          <w:jc w:val="center"/>
        </w:trPr>
        <w:tc>
          <w:tcPr>
            <w:tcW w:w="2449" w:type="dxa"/>
            <w:hideMark/>
          </w:tcPr>
          <w:p w14:paraId="202B3E96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22" w:type="dxa"/>
            <w:hideMark/>
          </w:tcPr>
          <w:p w14:paraId="360CC6DA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14211</w:t>
            </w:r>
          </w:p>
        </w:tc>
        <w:tc>
          <w:tcPr>
            <w:tcW w:w="3469" w:type="dxa"/>
            <w:noWrap/>
            <w:vAlign w:val="bottom"/>
            <w:hideMark/>
          </w:tcPr>
          <w:p w14:paraId="2335622D" w14:textId="77777777" w:rsidR="00E73F9B" w:rsidRPr="00E73F9B" w:rsidRDefault="00E73F9B" w:rsidP="00E73F9B">
            <w:pPr>
              <w:jc w:val="right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-5,03</w:t>
            </w:r>
          </w:p>
        </w:tc>
      </w:tr>
      <w:tr w:rsidR="00E73F9B" w:rsidRPr="00E73F9B" w14:paraId="0D8F4264" w14:textId="77777777" w:rsidTr="00D45807">
        <w:trPr>
          <w:trHeight w:val="255"/>
          <w:jc w:val="center"/>
        </w:trPr>
        <w:tc>
          <w:tcPr>
            <w:tcW w:w="2449" w:type="dxa"/>
            <w:hideMark/>
          </w:tcPr>
          <w:p w14:paraId="058D728B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22" w:type="dxa"/>
            <w:hideMark/>
          </w:tcPr>
          <w:p w14:paraId="1E700528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15701</w:t>
            </w:r>
          </w:p>
        </w:tc>
        <w:tc>
          <w:tcPr>
            <w:tcW w:w="3469" w:type="dxa"/>
            <w:noWrap/>
            <w:vAlign w:val="bottom"/>
            <w:hideMark/>
          </w:tcPr>
          <w:p w14:paraId="4A828E05" w14:textId="77777777" w:rsidR="00E73F9B" w:rsidRPr="00E73F9B" w:rsidRDefault="00E73F9B" w:rsidP="00E73F9B">
            <w:pPr>
              <w:jc w:val="right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4,93</w:t>
            </w:r>
          </w:p>
        </w:tc>
      </w:tr>
      <w:tr w:rsidR="00E73F9B" w:rsidRPr="00E73F9B" w14:paraId="5079211A" w14:textId="77777777" w:rsidTr="00D45807">
        <w:trPr>
          <w:trHeight w:val="255"/>
          <w:jc w:val="center"/>
        </w:trPr>
        <w:tc>
          <w:tcPr>
            <w:tcW w:w="2449" w:type="dxa"/>
            <w:hideMark/>
          </w:tcPr>
          <w:p w14:paraId="4BF2B15F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22" w:type="dxa"/>
            <w:hideMark/>
          </w:tcPr>
          <w:p w14:paraId="388B6872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14100</w:t>
            </w:r>
          </w:p>
        </w:tc>
        <w:tc>
          <w:tcPr>
            <w:tcW w:w="3469" w:type="dxa"/>
            <w:noWrap/>
            <w:vAlign w:val="bottom"/>
            <w:hideMark/>
          </w:tcPr>
          <w:p w14:paraId="5732BC92" w14:textId="77777777" w:rsidR="00E73F9B" w:rsidRPr="00E73F9B" w:rsidRDefault="00E73F9B" w:rsidP="00E73F9B">
            <w:pPr>
              <w:jc w:val="right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-5,77</w:t>
            </w:r>
          </w:p>
        </w:tc>
      </w:tr>
      <w:tr w:rsidR="00E73F9B" w:rsidRPr="00E73F9B" w14:paraId="796DE689" w14:textId="77777777" w:rsidTr="00D45807">
        <w:trPr>
          <w:trHeight w:val="255"/>
          <w:jc w:val="center"/>
        </w:trPr>
        <w:tc>
          <w:tcPr>
            <w:tcW w:w="2449" w:type="dxa"/>
            <w:hideMark/>
          </w:tcPr>
          <w:p w14:paraId="51F7CA25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22" w:type="dxa"/>
            <w:hideMark/>
          </w:tcPr>
          <w:p w14:paraId="2A12D645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15372</w:t>
            </w:r>
          </w:p>
        </w:tc>
        <w:tc>
          <w:tcPr>
            <w:tcW w:w="3469" w:type="dxa"/>
            <w:noWrap/>
            <w:vAlign w:val="bottom"/>
            <w:hideMark/>
          </w:tcPr>
          <w:p w14:paraId="2FB2CCF7" w14:textId="77777777" w:rsidR="00E73F9B" w:rsidRPr="00E73F9B" w:rsidRDefault="00E73F9B" w:rsidP="00E73F9B">
            <w:pPr>
              <w:jc w:val="right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2,73</w:t>
            </w:r>
          </w:p>
        </w:tc>
      </w:tr>
      <w:tr w:rsidR="00E73F9B" w:rsidRPr="00E73F9B" w14:paraId="1A311D2C" w14:textId="77777777" w:rsidTr="00D45807">
        <w:trPr>
          <w:trHeight w:val="255"/>
          <w:jc w:val="center"/>
        </w:trPr>
        <w:tc>
          <w:tcPr>
            <w:tcW w:w="2449" w:type="dxa"/>
            <w:hideMark/>
          </w:tcPr>
          <w:p w14:paraId="08320890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22" w:type="dxa"/>
            <w:hideMark/>
          </w:tcPr>
          <w:p w14:paraId="027F3A48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16175</w:t>
            </w:r>
          </w:p>
        </w:tc>
        <w:tc>
          <w:tcPr>
            <w:tcW w:w="3469" w:type="dxa"/>
            <w:noWrap/>
            <w:vAlign w:val="bottom"/>
            <w:hideMark/>
          </w:tcPr>
          <w:p w14:paraId="65EB97F2" w14:textId="77777777" w:rsidR="00E73F9B" w:rsidRPr="00E73F9B" w:rsidRDefault="00E73F9B" w:rsidP="00E73F9B">
            <w:pPr>
              <w:jc w:val="right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8,09</w:t>
            </w:r>
          </w:p>
        </w:tc>
      </w:tr>
      <w:tr w:rsidR="00E73F9B" w:rsidRPr="00E73F9B" w14:paraId="50E216D8" w14:textId="77777777" w:rsidTr="00D45807">
        <w:trPr>
          <w:trHeight w:val="255"/>
          <w:jc w:val="center"/>
        </w:trPr>
        <w:tc>
          <w:tcPr>
            <w:tcW w:w="2449" w:type="dxa"/>
            <w:hideMark/>
          </w:tcPr>
          <w:p w14:paraId="6938EDEF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222" w:type="dxa"/>
            <w:hideMark/>
          </w:tcPr>
          <w:p w14:paraId="480CD891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13491</w:t>
            </w:r>
          </w:p>
        </w:tc>
        <w:tc>
          <w:tcPr>
            <w:tcW w:w="3469" w:type="dxa"/>
            <w:noWrap/>
            <w:vAlign w:val="bottom"/>
            <w:hideMark/>
          </w:tcPr>
          <w:p w14:paraId="2FDD1E59" w14:textId="77777777" w:rsidR="00E73F9B" w:rsidRPr="00E73F9B" w:rsidRDefault="00E73F9B" w:rsidP="00E73F9B">
            <w:pPr>
              <w:jc w:val="right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-9,84</w:t>
            </w:r>
          </w:p>
        </w:tc>
      </w:tr>
      <w:tr w:rsidR="00E2522D" w:rsidRPr="00E73F9B" w14:paraId="56FBAEF1" w14:textId="77777777" w:rsidTr="00634468">
        <w:trPr>
          <w:trHeight w:val="255"/>
          <w:jc w:val="center"/>
        </w:trPr>
        <w:tc>
          <w:tcPr>
            <w:tcW w:w="2449" w:type="dxa"/>
            <w:hideMark/>
          </w:tcPr>
          <w:p w14:paraId="0C93467F" w14:textId="77777777" w:rsidR="00E2522D" w:rsidRPr="00E73F9B" w:rsidRDefault="00E2522D" w:rsidP="006344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22" w:type="dxa"/>
            <w:hideMark/>
          </w:tcPr>
          <w:p w14:paraId="09042A71" w14:textId="77777777" w:rsidR="00E2522D" w:rsidRPr="00E73F9B" w:rsidRDefault="00E2522D" w:rsidP="00634468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14236</w:t>
            </w:r>
          </w:p>
        </w:tc>
        <w:tc>
          <w:tcPr>
            <w:tcW w:w="3469" w:type="dxa"/>
            <w:noWrap/>
            <w:vAlign w:val="bottom"/>
            <w:hideMark/>
          </w:tcPr>
          <w:p w14:paraId="7FDCDC48" w14:textId="77777777" w:rsidR="00E2522D" w:rsidRPr="00E73F9B" w:rsidRDefault="00E2522D" w:rsidP="00634468">
            <w:pPr>
              <w:jc w:val="right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-4,87</w:t>
            </w:r>
          </w:p>
        </w:tc>
      </w:tr>
      <w:tr w:rsidR="00E73F9B" w:rsidRPr="00E73F9B" w14:paraId="737FEA46" w14:textId="77777777" w:rsidTr="00D45807">
        <w:trPr>
          <w:trHeight w:val="255"/>
          <w:jc w:val="center"/>
        </w:trPr>
        <w:tc>
          <w:tcPr>
            <w:tcW w:w="2449" w:type="dxa"/>
            <w:hideMark/>
          </w:tcPr>
          <w:p w14:paraId="107325E6" w14:textId="77777777" w:rsidR="00E73F9B" w:rsidRPr="00E73F9B" w:rsidRDefault="00E2522D" w:rsidP="00E73F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22" w:type="dxa"/>
            <w:hideMark/>
          </w:tcPr>
          <w:p w14:paraId="2C81B3EF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15782</w:t>
            </w:r>
          </w:p>
        </w:tc>
        <w:tc>
          <w:tcPr>
            <w:tcW w:w="3469" w:type="dxa"/>
            <w:noWrap/>
            <w:vAlign w:val="bottom"/>
            <w:hideMark/>
          </w:tcPr>
          <w:p w14:paraId="06E0A754" w14:textId="77777777" w:rsidR="00E73F9B" w:rsidRPr="00E73F9B" w:rsidRDefault="00E73F9B" w:rsidP="00E73F9B">
            <w:pPr>
              <w:jc w:val="right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5,47</w:t>
            </w:r>
          </w:p>
        </w:tc>
      </w:tr>
      <w:tr w:rsidR="00E2522D" w:rsidRPr="00E73F9B" w14:paraId="108BA031" w14:textId="77777777" w:rsidTr="00634468">
        <w:trPr>
          <w:trHeight w:val="255"/>
          <w:jc w:val="center"/>
        </w:trPr>
        <w:tc>
          <w:tcPr>
            <w:tcW w:w="2449" w:type="dxa"/>
            <w:hideMark/>
          </w:tcPr>
          <w:p w14:paraId="0D4B7871" w14:textId="77777777" w:rsidR="00E2522D" w:rsidRPr="00E73F9B" w:rsidRDefault="00E2522D" w:rsidP="006344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222" w:type="dxa"/>
            <w:hideMark/>
          </w:tcPr>
          <w:p w14:paraId="23584804" w14:textId="77777777" w:rsidR="00E2522D" w:rsidRPr="00E73F9B" w:rsidRDefault="00E2522D" w:rsidP="00634468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15607</w:t>
            </w:r>
          </w:p>
        </w:tc>
        <w:tc>
          <w:tcPr>
            <w:tcW w:w="3469" w:type="dxa"/>
            <w:noWrap/>
            <w:vAlign w:val="bottom"/>
            <w:hideMark/>
          </w:tcPr>
          <w:p w14:paraId="0CCF8771" w14:textId="54EE7FAC" w:rsidR="00E2522D" w:rsidRPr="00F209D9" w:rsidRDefault="00E2522D" w:rsidP="00634468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73F9B">
              <w:rPr>
                <w:color w:val="000000"/>
                <w:sz w:val="28"/>
                <w:szCs w:val="28"/>
              </w:rPr>
              <w:t>4,3</w:t>
            </w:r>
            <w:r w:rsidR="00F209D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73F9B" w:rsidRPr="00E73F9B" w14:paraId="55B88B3B" w14:textId="77777777" w:rsidTr="00D45807">
        <w:trPr>
          <w:trHeight w:val="255"/>
          <w:jc w:val="center"/>
        </w:trPr>
        <w:tc>
          <w:tcPr>
            <w:tcW w:w="2449" w:type="dxa"/>
            <w:hideMark/>
          </w:tcPr>
          <w:p w14:paraId="578D3CBC" w14:textId="77777777" w:rsidR="00E73F9B" w:rsidRPr="00E73F9B" w:rsidRDefault="00E2522D" w:rsidP="00E73F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222" w:type="dxa"/>
            <w:hideMark/>
          </w:tcPr>
          <w:p w14:paraId="605FD655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14438</w:t>
            </w:r>
          </w:p>
        </w:tc>
        <w:tc>
          <w:tcPr>
            <w:tcW w:w="3469" w:type="dxa"/>
            <w:noWrap/>
            <w:vAlign w:val="bottom"/>
            <w:hideMark/>
          </w:tcPr>
          <w:p w14:paraId="57AE5325" w14:textId="77777777" w:rsidR="00E73F9B" w:rsidRPr="00E73F9B" w:rsidRDefault="00E73F9B" w:rsidP="00E73F9B">
            <w:pPr>
              <w:jc w:val="right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-3,52</w:t>
            </w:r>
          </w:p>
        </w:tc>
      </w:tr>
      <w:tr w:rsidR="00E2522D" w:rsidRPr="00E73F9B" w14:paraId="6CA40676" w14:textId="77777777" w:rsidTr="00634468">
        <w:trPr>
          <w:trHeight w:val="255"/>
          <w:jc w:val="center"/>
        </w:trPr>
        <w:tc>
          <w:tcPr>
            <w:tcW w:w="2449" w:type="dxa"/>
            <w:hideMark/>
          </w:tcPr>
          <w:p w14:paraId="23C239A4" w14:textId="77777777" w:rsidR="00E2522D" w:rsidRPr="00E73F9B" w:rsidRDefault="00E2522D" w:rsidP="006344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222" w:type="dxa"/>
            <w:hideMark/>
          </w:tcPr>
          <w:p w14:paraId="6D2A0EEF" w14:textId="77777777" w:rsidR="00E2522D" w:rsidRPr="00E73F9B" w:rsidRDefault="00E2522D" w:rsidP="00634468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16112</w:t>
            </w:r>
          </w:p>
        </w:tc>
        <w:tc>
          <w:tcPr>
            <w:tcW w:w="3469" w:type="dxa"/>
            <w:noWrap/>
            <w:vAlign w:val="bottom"/>
            <w:hideMark/>
          </w:tcPr>
          <w:p w14:paraId="018BD62C" w14:textId="77777777" w:rsidR="00E2522D" w:rsidRPr="00E73F9B" w:rsidRDefault="00E2522D" w:rsidP="00634468">
            <w:pPr>
              <w:jc w:val="right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7,67</w:t>
            </w:r>
          </w:p>
        </w:tc>
      </w:tr>
      <w:tr w:rsidR="00E73F9B" w:rsidRPr="00E73F9B" w14:paraId="190B6E4F" w14:textId="77777777" w:rsidTr="00D45807">
        <w:trPr>
          <w:trHeight w:val="255"/>
          <w:jc w:val="center"/>
        </w:trPr>
        <w:tc>
          <w:tcPr>
            <w:tcW w:w="2449" w:type="dxa"/>
            <w:hideMark/>
          </w:tcPr>
          <w:p w14:paraId="6B98CAB6" w14:textId="77777777" w:rsidR="00E73F9B" w:rsidRPr="00E73F9B" w:rsidRDefault="00E2522D" w:rsidP="00E73F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222" w:type="dxa"/>
            <w:hideMark/>
          </w:tcPr>
          <w:p w14:paraId="5FA5986F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14083</w:t>
            </w:r>
          </w:p>
        </w:tc>
        <w:tc>
          <w:tcPr>
            <w:tcW w:w="3469" w:type="dxa"/>
            <w:noWrap/>
            <w:vAlign w:val="bottom"/>
            <w:hideMark/>
          </w:tcPr>
          <w:p w14:paraId="6ED5BEF3" w14:textId="77777777" w:rsidR="00E73F9B" w:rsidRPr="00E73F9B" w:rsidRDefault="00E73F9B" w:rsidP="00E73F9B">
            <w:pPr>
              <w:jc w:val="right"/>
              <w:rPr>
                <w:color w:val="000000"/>
                <w:sz w:val="28"/>
                <w:szCs w:val="28"/>
              </w:rPr>
            </w:pPr>
            <w:r w:rsidRPr="00E73F9B">
              <w:rPr>
                <w:color w:val="000000"/>
                <w:sz w:val="28"/>
                <w:szCs w:val="28"/>
              </w:rPr>
              <w:t>-5,89</w:t>
            </w:r>
          </w:p>
        </w:tc>
      </w:tr>
      <w:tr w:rsidR="00E73F9B" w:rsidRPr="00E73F9B" w14:paraId="482CDAD2" w14:textId="77777777" w:rsidTr="00D45807">
        <w:trPr>
          <w:trHeight w:val="255"/>
          <w:jc w:val="center"/>
        </w:trPr>
        <w:tc>
          <w:tcPr>
            <w:tcW w:w="2449" w:type="dxa"/>
          </w:tcPr>
          <w:p w14:paraId="66939441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222" w:type="dxa"/>
          </w:tcPr>
          <w:p w14:paraId="46AB6D5C" w14:textId="77777777" w:rsidR="00E73F9B" w:rsidRPr="00E73F9B" w:rsidRDefault="00E73F9B" w:rsidP="00E73F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209 501</w:t>
            </w:r>
          </w:p>
        </w:tc>
        <w:tc>
          <w:tcPr>
            <w:tcW w:w="3469" w:type="dxa"/>
            <w:noWrap/>
            <w:vAlign w:val="bottom"/>
          </w:tcPr>
          <w:p w14:paraId="398F43E8" w14:textId="77777777" w:rsidR="00E73F9B" w:rsidRPr="00E73F9B" w:rsidRDefault="00E73F9B" w:rsidP="00E73F9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BD38553" w14:textId="77777777" w:rsidR="00E73F9B" w:rsidRDefault="00E73F9B">
      <w:pPr>
        <w:spacing w:line="360" w:lineRule="auto"/>
        <w:ind w:firstLine="360"/>
        <w:jc w:val="both"/>
        <w:rPr>
          <w:sz w:val="28"/>
        </w:rPr>
      </w:pPr>
    </w:p>
    <w:sectPr w:rsidR="00E73F9B" w:rsidSect="008C63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38"/>
    <w:rsid w:val="00000D25"/>
    <w:rsid w:val="00052A97"/>
    <w:rsid w:val="0012361C"/>
    <w:rsid w:val="0013563B"/>
    <w:rsid w:val="00143B08"/>
    <w:rsid w:val="00162A47"/>
    <w:rsid w:val="001B3FAE"/>
    <w:rsid w:val="001F2A4B"/>
    <w:rsid w:val="00265E2C"/>
    <w:rsid w:val="0027235D"/>
    <w:rsid w:val="002C3402"/>
    <w:rsid w:val="002C5DC4"/>
    <w:rsid w:val="002E0AA7"/>
    <w:rsid w:val="002E168F"/>
    <w:rsid w:val="002F1570"/>
    <w:rsid w:val="00302E82"/>
    <w:rsid w:val="00341C87"/>
    <w:rsid w:val="003624F7"/>
    <w:rsid w:val="00366DD2"/>
    <w:rsid w:val="003917D5"/>
    <w:rsid w:val="003F48F3"/>
    <w:rsid w:val="00455FD3"/>
    <w:rsid w:val="004714DB"/>
    <w:rsid w:val="00494612"/>
    <w:rsid w:val="004F7086"/>
    <w:rsid w:val="005132FA"/>
    <w:rsid w:val="00522F0F"/>
    <w:rsid w:val="00546E7D"/>
    <w:rsid w:val="00566F3C"/>
    <w:rsid w:val="005831D2"/>
    <w:rsid w:val="00676370"/>
    <w:rsid w:val="00691653"/>
    <w:rsid w:val="00695CBA"/>
    <w:rsid w:val="006A36E4"/>
    <w:rsid w:val="00775D95"/>
    <w:rsid w:val="007865A1"/>
    <w:rsid w:val="00797EF3"/>
    <w:rsid w:val="007B42AE"/>
    <w:rsid w:val="007B5ADB"/>
    <w:rsid w:val="007C3D04"/>
    <w:rsid w:val="008020A3"/>
    <w:rsid w:val="0080517B"/>
    <w:rsid w:val="0081581C"/>
    <w:rsid w:val="00817AD7"/>
    <w:rsid w:val="00836ECA"/>
    <w:rsid w:val="00872E1E"/>
    <w:rsid w:val="008826D7"/>
    <w:rsid w:val="008A06E2"/>
    <w:rsid w:val="008C6349"/>
    <w:rsid w:val="009513C8"/>
    <w:rsid w:val="009B6019"/>
    <w:rsid w:val="009C2C9B"/>
    <w:rsid w:val="00A313AD"/>
    <w:rsid w:val="00A572C5"/>
    <w:rsid w:val="00A72442"/>
    <w:rsid w:val="00A83EB6"/>
    <w:rsid w:val="00A84020"/>
    <w:rsid w:val="00AA0E69"/>
    <w:rsid w:val="00AA52C7"/>
    <w:rsid w:val="00AB6953"/>
    <w:rsid w:val="00B57C24"/>
    <w:rsid w:val="00B91EC4"/>
    <w:rsid w:val="00BA7106"/>
    <w:rsid w:val="00BB6238"/>
    <w:rsid w:val="00BE6FFC"/>
    <w:rsid w:val="00BF157B"/>
    <w:rsid w:val="00C05C34"/>
    <w:rsid w:val="00C45574"/>
    <w:rsid w:val="00C57A8B"/>
    <w:rsid w:val="00C76D39"/>
    <w:rsid w:val="00C77280"/>
    <w:rsid w:val="00CC69F2"/>
    <w:rsid w:val="00CD68BB"/>
    <w:rsid w:val="00CD727D"/>
    <w:rsid w:val="00CF7BAC"/>
    <w:rsid w:val="00D135F8"/>
    <w:rsid w:val="00D2537C"/>
    <w:rsid w:val="00D36DA8"/>
    <w:rsid w:val="00D42F78"/>
    <w:rsid w:val="00D45807"/>
    <w:rsid w:val="00DB14A6"/>
    <w:rsid w:val="00DC24C6"/>
    <w:rsid w:val="00E2522D"/>
    <w:rsid w:val="00E372F2"/>
    <w:rsid w:val="00E57C02"/>
    <w:rsid w:val="00E73F9B"/>
    <w:rsid w:val="00E92C74"/>
    <w:rsid w:val="00EE59DE"/>
    <w:rsid w:val="00F04476"/>
    <w:rsid w:val="00F209D9"/>
    <w:rsid w:val="00F5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6E7C2"/>
  <w15:docId w15:val="{48FFA591-0C36-4DC5-BC38-60E3A98D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3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C634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C6349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8C6349"/>
    <w:pPr>
      <w:jc w:val="center"/>
    </w:pPr>
    <w:rPr>
      <w:sz w:val="28"/>
    </w:rPr>
  </w:style>
  <w:style w:type="paragraph" w:styleId="a7">
    <w:name w:val="Body Text"/>
    <w:basedOn w:val="a"/>
    <w:link w:val="a8"/>
    <w:semiHidden/>
    <w:rsid w:val="008C6349"/>
    <w:rPr>
      <w:sz w:val="22"/>
    </w:rPr>
  </w:style>
  <w:style w:type="paragraph" w:customStyle="1" w:styleId="21">
    <w:name w:val="Основной текст 21"/>
    <w:basedOn w:val="a"/>
    <w:rsid w:val="00341C87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5132FA"/>
    <w:rPr>
      <w:sz w:val="28"/>
      <w:szCs w:val="24"/>
    </w:rPr>
  </w:style>
  <w:style w:type="character" w:customStyle="1" w:styleId="a6">
    <w:name w:val="Заголовок Знак"/>
    <w:basedOn w:val="a0"/>
    <w:link w:val="a5"/>
    <w:rsid w:val="005132FA"/>
    <w:rPr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5132FA"/>
    <w:rPr>
      <w:sz w:val="22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5132F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КСА ТИК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user01</dc:creator>
  <cp:lastModifiedBy>admin</cp:lastModifiedBy>
  <cp:revision>12</cp:revision>
  <cp:lastPrinted>2015-12-09T14:09:00Z</cp:lastPrinted>
  <dcterms:created xsi:type="dcterms:W3CDTF">2025-11-18T06:56:00Z</dcterms:created>
  <dcterms:modified xsi:type="dcterms:W3CDTF">2025-11-21T08:08:00Z</dcterms:modified>
</cp:coreProperties>
</file>